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16" w:rsidRDefault="00665E16" w:rsidP="00665E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Налогового органом в 2006 году в отношении ОАО «Московский водочный завод» принято решение о предоставлении отсрочки по уплате налога на прибыль организаций за 2006 год. В связи с уплатой авансовых платежей по налогу на прибыль, у общества в 2007 году образовалась переплата по указанному налогу (налогу на прибыль); учитывая это обстоятельство, налогоплательщик обратился в налоговый орган с заявлением о возврате излишни уплаченных сумм налога (авансовых платежей). Рассмотрев заявление общества, налоговый орган принял решение, в котором указал, что возврат будет произведен частично, а оставшаяся часть переплаты направлена налоговым органом на зачет погашения отсроченной задолженности по налогу за 2006 год в соответствии со ст.78 НК РФ. </w:t>
      </w:r>
    </w:p>
    <w:p w:rsidR="00665E16" w:rsidRDefault="00665E16" w:rsidP="0066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согласившись с подобными действиями налогового органа общество обратилось в Арбитражный суд. </w:t>
      </w:r>
    </w:p>
    <w:p w:rsidR="00665E16" w:rsidRDefault="00665E16" w:rsidP="00665E1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Ссылаясь на нормы действующего законодательства, оцените правомерность действий налогового органа и разъясните, нормами бюджетного или налогового законодательства надлежит руководствоваться при рассмотрении данного дела. Обоснуйте, как должен быть разрешен описанный спор. </w:t>
      </w:r>
    </w:p>
    <w:p w:rsidR="00665E16" w:rsidRDefault="00665E16" w:rsidP="00665E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Управление ФАС России по Саратовской области обратилось в суд с заявлением о признании недействующим решения Городской думы города Саратова «Об утверждении правил размещения наружной рекламы на территории города Саратова». По мнению антимонопольного органа, плата за распространение наружной рекламы относится к собственным доходам местных бюджетов как платеж, установленный законодательством, и должна зачисляться на соответствующие бюджетные счета УФК. Между тем, положения утвержденного порядка устанавливали, что зачисление доходов в виде платы за размещение средств наружной рекламы и информации в </w:t>
      </w:r>
      <w:proofErr w:type="spellStart"/>
      <w:r>
        <w:rPr>
          <w:sz w:val="23"/>
          <w:szCs w:val="23"/>
        </w:rPr>
        <w:t>г.Саратове</w:t>
      </w:r>
      <w:proofErr w:type="spellEnd"/>
      <w:r>
        <w:rPr>
          <w:sz w:val="23"/>
          <w:szCs w:val="23"/>
        </w:rPr>
        <w:t xml:space="preserve"> на счет МУП «Саратовская реклама». По мнению антимонопольного органа, указанный порядок принят с превышением бюджетных полномочий муниципальных органов. </w:t>
      </w:r>
    </w:p>
    <w:p w:rsidR="00665E16" w:rsidRDefault="00665E16" w:rsidP="00665E16">
      <w:pPr>
        <w:pStyle w:val="Default"/>
        <w:rPr>
          <w:sz w:val="23"/>
          <w:szCs w:val="23"/>
        </w:rPr>
      </w:pPr>
    </w:p>
    <w:p w:rsidR="00665E16" w:rsidRDefault="00665E16" w:rsidP="00665E16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Возражая против заявленных требований, Городская дума города Саратова указала на то, что органы местного самоуправления свободны в осуществлении бюджетных полномочий и вправе самостоятельно определить организацию, аккумулирующую поступающие от размещения рекламы денежные средства. </w:t>
      </w:r>
    </w:p>
    <w:p w:rsidR="00665E16" w:rsidRDefault="00665E16" w:rsidP="00665E1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Ссылаясь на нормы действующего законодательства, оцените доводы и возражения каждой из сторон, определите бюджетные полномочий органов местного самоуправления. </w:t>
      </w:r>
    </w:p>
    <w:p w:rsidR="00665E16" w:rsidRDefault="00665E16" w:rsidP="00665E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Прокурор Оренбургской области обратился в суд с заявлением о признании недействующим ст.61 Закона Оренбургской области «О государственной и муниципальной службе» в части установления дополнительно к должностному окладу в составе заработной платы государственного служащего надбавки к должностному окладу за ученую степень и ученое звание в размере 15%. По мнению прокурора, установление для государственных служащих области дополнительной надбавки за ученую степень и ученое звание влечет увеличение размера их денежного содержания, что влияет на расходную часть бюджета области в сторону ее увеличения и является в соответствии со ст.1 БК РФ регулированием бюджетных правоотношений, а нормативные акты, регулирующие бюджетные правоотношения, не могут противоречить БК РФ. При этом прокурор особо отметил, что Оренбургская область в спорный период является получателем дотаций на выравнивание бюджетной обеспеченности субъектов РФ из Федерального фонда финансовой поддержки субъектов РФ. </w:t>
      </w:r>
    </w:p>
    <w:p w:rsidR="00665E16" w:rsidRDefault="00665E16" w:rsidP="00665E16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Ссылаясь на нормы действующего законодательства, оцените правомерность позиции прокурора, а также определите с учетом описанной ситуации правомерность увеличения расходной части бюджета субъекта РФ на уровне регионального законодательства. Какое решение должен принять суд.</w:t>
      </w:r>
    </w:p>
    <w:p w:rsidR="00665E16" w:rsidRDefault="00665E16" w:rsidP="00665E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Иванов работал в ООО «Заря» на основании трудового договора. ООО «Заря», выплачивая Иванову заработную плату, но не производило каких-либо удержаний и выплат, о чем Иванов был поставлен в известность. Иванов также не уплачивал налог на доходы физических лиц с полученного дохода (заработной платы). </w:t>
      </w:r>
    </w:p>
    <w:p w:rsidR="00665E16" w:rsidRDefault="00665E16" w:rsidP="00665E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Налоговый орган, установив неуплату НДФЛ с сумм, выплаченных ООО «Заря», вынес Решение о привлечении ООО «Заря» к налоговой ответственности по ст.123 НК РФ, Иванова по ст.122 НК РФ. Также в адрес ООО «Заря» было направлено требование об уплате НДФЛ с сумм, выплаченных ранее Иванову, а также пени в соответствующем размере. </w:t>
      </w:r>
    </w:p>
    <w:p w:rsidR="00665E16" w:rsidRDefault="00665E16" w:rsidP="00665E1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Проанализируйте ситуацию с точки зрения действующего законодательства. Оцените правомерность действий всех участников? Изменится ли ситуация, в случае отсутствия информации у Иванова о действиях ООО «Заря»? </w:t>
      </w:r>
    </w:p>
    <w:p w:rsidR="00A6763B" w:rsidRDefault="00A6763B">
      <w:bookmarkStart w:id="0" w:name="_GoBack"/>
      <w:bookmarkEnd w:id="0"/>
    </w:p>
    <w:sectPr w:rsidR="00A6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2"/>
    <w:rsid w:val="004216B2"/>
    <w:rsid w:val="00665E16"/>
    <w:rsid w:val="00A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765F1-853D-45E6-9263-50B022F0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2018-10-02T16:03:00Z</dcterms:created>
  <dcterms:modified xsi:type="dcterms:W3CDTF">2018-10-02T16:03:00Z</dcterms:modified>
</cp:coreProperties>
</file>