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4E" w:rsidRDefault="00456D89" w:rsidP="00B73C7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Тема «</w:t>
      </w:r>
      <w:r w:rsidR="00BE1906">
        <w:rPr>
          <w:rFonts w:ascii="Times New Roman" w:hAnsi="Times New Roman" w:cs="Times New Roman"/>
          <w:b/>
          <w:bCs/>
          <w:iCs/>
          <w:sz w:val="24"/>
          <w:szCs w:val="24"/>
        </w:rPr>
        <w:t>Основные п</w:t>
      </w:r>
      <w:bookmarkStart w:id="0" w:name="_GoBack"/>
      <w:bookmarkEnd w:id="0"/>
      <w:r w:rsidR="00BE1906">
        <w:rPr>
          <w:rFonts w:ascii="Times New Roman" w:hAnsi="Times New Roman" w:cs="Times New Roman"/>
          <w:b/>
          <w:bCs/>
          <w:iCs/>
          <w:sz w:val="24"/>
          <w:szCs w:val="24"/>
        </w:rPr>
        <w:t>оказатели для экономической оценки</w:t>
      </w:r>
      <w:r w:rsidR="009867EF">
        <w:rPr>
          <w:rFonts w:ascii="Times New Roman" w:hAnsi="Times New Roman" w:cs="Times New Roman"/>
          <w:b/>
          <w:bCs/>
          <w:iCs/>
          <w:sz w:val="24"/>
          <w:szCs w:val="24"/>
        </w:rPr>
        <w:t xml:space="preserve"> инновационного проекта</w:t>
      </w:r>
      <w:r>
        <w:rPr>
          <w:rFonts w:ascii="Times New Roman" w:hAnsi="Times New Roman" w:cs="Times New Roman"/>
          <w:b/>
          <w:bCs/>
          <w:iCs/>
          <w:sz w:val="24"/>
          <w:szCs w:val="24"/>
        </w:rPr>
        <w:t>»</w:t>
      </w:r>
    </w:p>
    <w:p w:rsidR="004B0165" w:rsidRPr="00916D87" w:rsidRDefault="004B0165" w:rsidP="004B0165">
      <w:pPr>
        <w:spacing w:after="0" w:line="240" w:lineRule="auto"/>
        <w:ind w:firstLine="708"/>
        <w:jc w:val="both"/>
        <w:rPr>
          <w:rFonts w:ascii="Times New Roman" w:hAnsi="Times New Roman" w:cs="Times New Roman"/>
          <w:b/>
          <w:bCs/>
          <w:iCs/>
          <w:sz w:val="24"/>
          <w:szCs w:val="24"/>
        </w:rPr>
      </w:pPr>
      <w:r w:rsidRPr="00916D87">
        <w:rPr>
          <w:rFonts w:ascii="Times New Roman" w:hAnsi="Times New Roman" w:cs="Times New Roman"/>
          <w:b/>
          <w:bCs/>
          <w:iCs/>
          <w:sz w:val="24"/>
          <w:szCs w:val="24"/>
        </w:rPr>
        <w:t>Задание 1.</w:t>
      </w:r>
    </w:p>
    <w:p w:rsidR="004B0165" w:rsidRPr="00916D87" w:rsidRDefault="004B0165" w:rsidP="004B0165">
      <w:pPr>
        <w:spacing w:after="0" w:line="240" w:lineRule="auto"/>
        <w:ind w:firstLine="708"/>
        <w:jc w:val="both"/>
        <w:rPr>
          <w:rFonts w:ascii="Times New Roman" w:hAnsi="Times New Roman" w:cs="Times New Roman"/>
          <w:bCs/>
          <w:iCs/>
          <w:sz w:val="24"/>
          <w:szCs w:val="24"/>
        </w:rPr>
      </w:pPr>
      <w:r w:rsidRPr="00916D87">
        <w:rPr>
          <w:rFonts w:ascii="Times New Roman" w:hAnsi="Times New Roman" w:cs="Times New Roman"/>
          <w:bCs/>
          <w:iCs/>
          <w:sz w:val="24"/>
          <w:szCs w:val="24"/>
        </w:rPr>
        <w:t>Компания планирует приобрести новую информационную систему, обеспечивающую бесперебойную работу сложного производственного процесса и использовать ее в течение 5 лет. По истечении этого срока компания планирует получить доход в размере 1850 тыс. руб., который при этом распределяется по годам следующим образом:</w:t>
      </w:r>
    </w:p>
    <w:p w:rsidR="004B0165" w:rsidRPr="009867EF" w:rsidRDefault="004B0165" w:rsidP="004B0165">
      <w:pPr>
        <w:pStyle w:val="a3"/>
        <w:spacing w:after="0" w:line="240" w:lineRule="auto"/>
        <w:ind w:left="0" w:firstLine="851"/>
        <w:jc w:val="both"/>
        <w:rPr>
          <w:rFonts w:ascii="Times New Roman" w:hAnsi="Times New Roman" w:cs="Times New Roman"/>
          <w:bCs/>
          <w:iCs/>
          <w:sz w:val="24"/>
          <w:szCs w:val="24"/>
        </w:rPr>
      </w:pPr>
      <w:r w:rsidRPr="009867EF">
        <w:rPr>
          <w:rFonts w:ascii="Times New Roman" w:hAnsi="Times New Roman" w:cs="Times New Roman"/>
          <w:bCs/>
          <w:iCs/>
          <w:sz w:val="24"/>
          <w:szCs w:val="24"/>
        </w:rPr>
        <w:t>1 год – 500 тыс. руб.</w:t>
      </w:r>
    </w:p>
    <w:p w:rsidR="004B0165" w:rsidRPr="009867EF" w:rsidRDefault="004B0165" w:rsidP="004B0165">
      <w:pPr>
        <w:pStyle w:val="a3"/>
        <w:spacing w:after="0" w:line="240" w:lineRule="auto"/>
        <w:ind w:left="0" w:firstLine="851"/>
        <w:jc w:val="both"/>
        <w:rPr>
          <w:rFonts w:ascii="Times New Roman" w:hAnsi="Times New Roman" w:cs="Times New Roman"/>
          <w:bCs/>
          <w:iCs/>
          <w:sz w:val="24"/>
          <w:szCs w:val="24"/>
        </w:rPr>
      </w:pPr>
      <w:r w:rsidRPr="009867EF">
        <w:rPr>
          <w:rFonts w:ascii="Times New Roman" w:hAnsi="Times New Roman" w:cs="Times New Roman"/>
          <w:bCs/>
          <w:iCs/>
          <w:sz w:val="24"/>
          <w:szCs w:val="24"/>
        </w:rPr>
        <w:t>2 год – 550 тыс. руб.</w:t>
      </w:r>
    </w:p>
    <w:p w:rsidR="004B0165" w:rsidRPr="009867EF" w:rsidRDefault="004B0165" w:rsidP="004B0165">
      <w:pPr>
        <w:pStyle w:val="a3"/>
        <w:spacing w:after="0" w:line="240" w:lineRule="auto"/>
        <w:ind w:left="0" w:firstLine="851"/>
        <w:jc w:val="both"/>
        <w:rPr>
          <w:rFonts w:ascii="Times New Roman" w:hAnsi="Times New Roman" w:cs="Times New Roman"/>
          <w:bCs/>
          <w:iCs/>
          <w:sz w:val="24"/>
          <w:szCs w:val="24"/>
        </w:rPr>
      </w:pPr>
      <w:r w:rsidRPr="009867EF">
        <w:rPr>
          <w:rFonts w:ascii="Times New Roman" w:hAnsi="Times New Roman" w:cs="Times New Roman"/>
          <w:bCs/>
          <w:iCs/>
          <w:sz w:val="24"/>
          <w:szCs w:val="24"/>
        </w:rPr>
        <w:t>3 год – 800 тыс. руб.</w:t>
      </w:r>
    </w:p>
    <w:p w:rsidR="004B0165" w:rsidRPr="009867EF" w:rsidRDefault="004B0165" w:rsidP="004B0165">
      <w:pPr>
        <w:pStyle w:val="a3"/>
        <w:spacing w:after="0" w:line="240" w:lineRule="auto"/>
        <w:ind w:left="0" w:firstLine="851"/>
        <w:jc w:val="both"/>
        <w:rPr>
          <w:rFonts w:ascii="Times New Roman" w:hAnsi="Times New Roman" w:cs="Times New Roman"/>
          <w:bCs/>
          <w:iCs/>
          <w:sz w:val="24"/>
          <w:szCs w:val="24"/>
        </w:rPr>
      </w:pPr>
    </w:p>
    <w:p w:rsidR="004B0165" w:rsidRPr="009867EF" w:rsidRDefault="004B0165" w:rsidP="004B0165">
      <w:pPr>
        <w:pStyle w:val="a3"/>
        <w:spacing w:after="0" w:line="240" w:lineRule="auto"/>
        <w:ind w:left="0" w:firstLine="851"/>
        <w:jc w:val="both"/>
        <w:rPr>
          <w:rFonts w:ascii="Times New Roman" w:hAnsi="Times New Roman" w:cs="Times New Roman"/>
          <w:bCs/>
          <w:iCs/>
          <w:sz w:val="24"/>
          <w:szCs w:val="24"/>
        </w:rPr>
      </w:pPr>
      <w:r w:rsidRPr="009867EF">
        <w:rPr>
          <w:rFonts w:ascii="Times New Roman" w:hAnsi="Times New Roman" w:cs="Times New Roman"/>
          <w:bCs/>
          <w:iCs/>
          <w:sz w:val="24"/>
          <w:szCs w:val="24"/>
        </w:rPr>
        <w:t xml:space="preserve">Ставка дисконтирования равна 10%. </w:t>
      </w:r>
      <w:r>
        <w:rPr>
          <w:rFonts w:ascii="Times New Roman" w:hAnsi="Times New Roman" w:cs="Times New Roman"/>
          <w:bCs/>
          <w:iCs/>
          <w:sz w:val="24"/>
          <w:szCs w:val="24"/>
        </w:rPr>
        <w:t>Инвестиции составят 500 тыс. руб.</w:t>
      </w:r>
      <w:r w:rsidRPr="009867EF">
        <w:rPr>
          <w:rFonts w:ascii="Times New Roman" w:hAnsi="Times New Roman" w:cs="Times New Roman"/>
          <w:bCs/>
          <w:iCs/>
          <w:sz w:val="24"/>
          <w:szCs w:val="24"/>
        </w:rPr>
        <w:t xml:space="preserve"> Определите целесообразность покупки и внедрения данной информационной системы. Для обоснования ответа необходимо рассчитать </w:t>
      </w:r>
      <w:r w:rsidRPr="009867EF">
        <w:rPr>
          <w:rFonts w:ascii="Times New Roman" w:hAnsi="Times New Roman" w:cs="Times New Roman"/>
          <w:bCs/>
          <w:iCs/>
          <w:sz w:val="24"/>
          <w:szCs w:val="24"/>
          <w:lang w:val="en-US"/>
        </w:rPr>
        <w:t>NPV</w:t>
      </w:r>
      <w:r w:rsidRPr="009867EF">
        <w:rPr>
          <w:rFonts w:ascii="Times New Roman" w:hAnsi="Times New Roman" w:cs="Times New Roman"/>
          <w:bCs/>
          <w:iCs/>
          <w:sz w:val="24"/>
          <w:szCs w:val="24"/>
        </w:rPr>
        <w:t>.</w:t>
      </w:r>
    </w:p>
    <w:p w:rsidR="004B0165" w:rsidRDefault="004B0165" w:rsidP="004B0165">
      <w:pPr>
        <w:pStyle w:val="a3"/>
        <w:spacing w:after="0" w:line="240" w:lineRule="auto"/>
        <w:jc w:val="both"/>
        <w:rPr>
          <w:rFonts w:ascii="Times New Roman" w:hAnsi="Times New Roman" w:cs="Times New Roman"/>
          <w:b/>
          <w:bCs/>
          <w:iCs/>
          <w:sz w:val="24"/>
          <w:szCs w:val="24"/>
        </w:rPr>
      </w:pPr>
    </w:p>
    <w:p w:rsidR="004B0165" w:rsidRPr="00916D87" w:rsidRDefault="004B0165" w:rsidP="004B0165">
      <w:pPr>
        <w:pStyle w:val="a3"/>
        <w:spacing w:after="0" w:line="240" w:lineRule="auto"/>
        <w:ind w:left="0"/>
        <w:jc w:val="both"/>
        <w:rPr>
          <w:rFonts w:ascii="Times New Roman" w:hAnsi="Times New Roman" w:cs="Times New Roman"/>
          <w:b/>
          <w:bCs/>
          <w:iCs/>
          <w:sz w:val="24"/>
          <w:szCs w:val="24"/>
        </w:rPr>
      </w:pPr>
      <w:r>
        <w:rPr>
          <w:rFonts w:ascii="Times New Roman" w:hAnsi="Times New Roman" w:cs="Times New Roman"/>
          <w:bCs/>
          <w:iCs/>
          <w:sz w:val="24"/>
          <w:szCs w:val="24"/>
        </w:rPr>
        <w:tab/>
      </w:r>
      <w:r w:rsidRPr="00916D87">
        <w:rPr>
          <w:rFonts w:ascii="Times New Roman" w:hAnsi="Times New Roman" w:cs="Times New Roman"/>
          <w:b/>
          <w:bCs/>
          <w:iCs/>
          <w:sz w:val="24"/>
          <w:szCs w:val="24"/>
        </w:rPr>
        <w:t>Задание 2.</w:t>
      </w:r>
    </w:p>
    <w:p w:rsidR="004B0165" w:rsidRDefault="004B0165" w:rsidP="004B0165">
      <w:pPr>
        <w:pStyle w:val="a3"/>
        <w:spacing w:after="0" w:line="240" w:lineRule="auto"/>
        <w:ind w:left="0" w:firstLine="708"/>
        <w:jc w:val="both"/>
        <w:rPr>
          <w:rFonts w:ascii="Times New Roman" w:hAnsi="Times New Roman" w:cs="Times New Roman"/>
          <w:bCs/>
          <w:iCs/>
          <w:sz w:val="24"/>
          <w:szCs w:val="24"/>
        </w:rPr>
      </w:pPr>
      <w:r w:rsidRPr="00916D87">
        <w:rPr>
          <w:rFonts w:ascii="Times New Roman" w:hAnsi="Times New Roman" w:cs="Times New Roman"/>
          <w:bCs/>
          <w:iCs/>
          <w:sz w:val="24"/>
          <w:szCs w:val="24"/>
        </w:rPr>
        <w:t xml:space="preserve">Определите значение показателя </w:t>
      </w:r>
      <w:r w:rsidRPr="00916D87">
        <w:rPr>
          <w:rFonts w:ascii="Times New Roman" w:hAnsi="Times New Roman" w:cs="Times New Roman"/>
          <w:bCs/>
          <w:iCs/>
          <w:sz w:val="24"/>
          <w:szCs w:val="24"/>
          <w:lang w:val="en-US"/>
        </w:rPr>
        <w:t>IRR</w:t>
      </w:r>
      <w:r w:rsidRPr="00916D87">
        <w:rPr>
          <w:rFonts w:ascii="Times New Roman" w:hAnsi="Times New Roman" w:cs="Times New Roman"/>
          <w:bCs/>
          <w:iCs/>
          <w:sz w:val="24"/>
          <w:szCs w:val="24"/>
        </w:rPr>
        <w:t xml:space="preserve"> для инновационного проекта, рассчитанного на три года, требующего инвестиции в размере 2000 тыс. руб. и имеющего предполагаемые денежные поступления в размере 1500 тыс. руб.</w:t>
      </w:r>
      <w:r>
        <w:rPr>
          <w:rFonts w:ascii="Times New Roman" w:hAnsi="Times New Roman" w:cs="Times New Roman"/>
          <w:bCs/>
          <w:iCs/>
          <w:sz w:val="24"/>
          <w:szCs w:val="24"/>
        </w:rPr>
        <w:t xml:space="preserve"> Для расчета коэффициенты дисконтирования принять равными 40 и 50%.</w:t>
      </w:r>
    </w:p>
    <w:p w:rsidR="004B0165" w:rsidRDefault="004B0165" w:rsidP="004B0165">
      <w:pPr>
        <w:pStyle w:val="a3"/>
        <w:spacing w:after="0" w:line="240" w:lineRule="auto"/>
        <w:ind w:left="0" w:firstLine="720"/>
        <w:jc w:val="both"/>
        <w:rPr>
          <w:rFonts w:ascii="Times New Roman" w:hAnsi="Times New Roman" w:cs="Times New Roman"/>
          <w:b/>
          <w:bCs/>
          <w:iCs/>
          <w:sz w:val="24"/>
          <w:szCs w:val="24"/>
        </w:rPr>
      </w:pPr>
    </w:p>
    <w:p w:rsidR="004B0165" w:rsidRDefault="004B0165" w:rsidP="004B0165">
      <w:pPr>
        <w:pStyle w:val="a3"/>
        <w:spacing w:after="0" w:line="240" w:lineRule="auto"/>
        <w:ind w:left="0" w:firstLine="720"/>
        <w:jc w:val="both"/>
        <w:rPr>
          <w:rFonts w:ascii="Times New Roman" w:hAnsi="Times New Roman" w:cs="Times New Roman"/>
          <w:b/>
          <w:bCs/>
          <w:iCs/>
          <w:sz w:val="24"/>
          <w:szCs w:val="24"/>
        </w:rPr>
      </w:pPr>
      <w:r>
        <w:rPr>
          <w:rFonts w:ascii="Times New Roman" w:hAnsi="Times New Roman" w:cs="Times New Roman"/>
          <w:b/>
          <w:bCs/>
          <w:iCs/>
          <w:sz w:val="24"/>
          <w:szCs w:val="24"/>
        </w:rPr>
        <w:t>Задание 3.</w:t>
      </w:r>
    </w:p>
    <w:p w:rsidR="004B0165" w:rsidRPr="000A5113" w:rsidRDefault="004B0165" w:rsidP="004B0165">
      <w:pPr>
        <w:pStyle w:val="2"/>
        <w:spacing w:after="0" w:line="240" w:lineRule="auto"/>
        <w:ind w:firstLine="708"/>
        <w:jc w:val="both"/>
        <w:rPr>
          <w:szCs w:val="28"/>
        </w:rPr>
      </w:pPr>
      <w:r w:rsidRPr="000A5113">
        <w:rPr>
          <w:szCs w:val="28"/>
        </w:rPr>
        <w:t xml:space="preserve">Имеются два </w:t>
      </w:r>
      <w:r>
        <w:rPr>
          <w:szCs w:val="28"/>
        </w:rPr>
        <w:t>инновационных</w:t>
      </w:r>
      <w:r w:rsidRPr="000A5113">
        <w:rPr>
          <w:szCs w:val="28"/>
        </w:rPr>
        <w:t xml:space="preserve"> проекта, в которых потоки платежей характеризуются данными, приведенными в таблице. Коэффициент дисконтирования равен 1.</w:t>
      </w:r>
      <w:r>
        <w:rPr>
          <w:szCs w:val="28"/>
        </w:rPr>
        <w:t>2</w:t>
      </w:r>
      <w:r w:rsidRPr="000A5113">
        <w:rPr>
          <w:szCs w:val="28"/>
        </w:rPr>
        <w:t>.</w:t>
      </w:r>
    </w:p>
    <w:p w:rsidR="004B0165" w:rsidRPr="000A5113" w:rsidRDefault="004B0165" w:rsidP="004B0165">
      <w:pPr>
        <w:pStyle w:val="2"/>
        <w:spacing w:after="0" w:line="240" w:lineRule="auto"/>
        <w:ind w:firstLine="708"/>
        <w:jc w:val="right"/>
        <w:rPr>
          <w:szCs w:val="28"/>
        </w:rPr>
      </w:pPr>
      <w:r w:rsidRPr="000A5113">
        <w:rPr>
          <w:szCs w:val="28"/>
        </w:rPr>
        <w:t xml:space="preserve">Таблица </w:t>
      </w:r>
    </w:p>
    <w:p w:rsidR="004B0165" w:rsidRPr="000A5113" w:rsidRDefault="004B0165" w:rsidP="004B0165">
      <w:pPr>
        <w:pStyle w:val="2"/>
        <w:spacing w:after="0" w:line="240" w:lineRule="auto"/>
        <w:ind w:firstLine="708"/>
        <w:jc w:val="center"/>
        <w:rPr>
          <w:szCs w:val="28"/>
        </w:rPr>
      </w:pPr>
      <w:r w:rsidRPr="000A5113">
        <w:rPr>
          <w:szCs w:val="28"/>
        </w:rPr>
        <w:t xml:space="preserve">Потоки платежей по инвестиционным проектам, тыс. </w:t>
      </w:r>
      <w:proofErr w:type="spellStart"/>
      <w:r w:rsidRPr="000A5113">
        <w:rPr>
          <w:szCs w:val="28"/>
        </w:rPr>
        <w:t>у.д.е</w:t>
      </w:r>
      <w:proofErr w:type="spellEnd"/>
      <w:r w:rsidRPr="000A5113">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25"/>
        <w:gridCol w:w="1025"/>
        <w:gridCol w:w="1026"/>
        <w:gridCol w:w="1025"/>
        <w:gridCol w:w="1026"/>
        <w:gridCol w:w="1026"/>
        <w:gridCol w:w="1026"/>
        <w:gridCol w:w="1026"/>
      </w:tblGrid>
      <w:tr w:rsidR="004B0165" w:rsidRPr="000A5113" w:rsidTr="00A16A4D">
        <w:trPr>
          <w:trHeight w:val="323"/>
          <w:jc w:val="center"/>
        </w:trPr>
        <w:tc>
          <w:tcPr>
            <w:tcW w:w="1081" w:type="dxa"/>
            <w:vMerge w:val="restart"/>
          </w:tcPr>
          <w:p w:rsidR="004B0165" w:rsidRPr="000A5113" w:rsidRDefault="004B0165" w:rsidP="00A16A4D">
            <w:pPr>
              <w:pStyle w:val="2"/>
              <w:spacing w:after="0" w:line="240" w:lineRule="auto"/>
              <w:jc w:val="center"/>
              <w:rPr>
                <w:szCs w:val="28"/>
              </w:rPr>
            </w:pPr>
            <w:r w:rsidRPr="000A5113">
              <w:rPr>
                <w:szCs w:val="28"/>
              </w:rPr>
              <w:t>Проект</w:t>
            </w:r>
          </w:p>
        </w:tc>
        <w:tc>
          <w:tcPr>
            <w:tcW w:w="8205" w:type="dxa"/>
            <w:gridSpan w:val="8"/>
          </w:tcPr>
          <w:p w:rsidR="004B0165" w:rsidRPr="000A5113" w:rsidRDefault="004B0165" w:rsidP="00A16A4D">
            <w:pPr>
              <w:pStyle w:val="2"/>
              <w:spacing w:after="0" w:line="240" w:lineRule="auto"/>
              <w:jc w:val="center"/>
              <w:rPr>
                <w:szCs w:val="28"/>
              </w:rPr>
            </w:pPr>
            <w:r w:rsidRPr="000A5113">
              <w:rPr>
                <w:szCs w:val="28"/>
              </w:rPr>
              <w:t>Год</w:t>
            </w:r>
          </w:p>
        </w:tc>
      </w:tr>
      <w:tr w:rsidR="004B0165" w:rsidRPr="000A5113" w:rsidTr="00A16A4D">
        <w:trPr>
          <w:trHeight w:val="322"/>
          <w:jc w:val="center"/>
        </w:trPr>
        <w:tc>
          <w:tcPr>
            <w:tcW w:w="1081" w:type="dxa"/>
            <w:vMerge/>
          </w:tcPr>
          <w:p w:rsidR="004B0165" w:rsidRPr="000A5113" w:rsidRDefault="004B0165" w:rsidP="00A16A4D">
            <w:pPr>
              <w:pStyle w:val="2"/>
              <w:spacing w:after="0" w:line="240" w:lineRule="auto"/>
              <w:jc w:val="center"/>
              <w:rPr>
                <w:szCs w:val="28"/>
              </w:rPr>
            </w:pPr>
          </w:p>
        </w:tc>
        <w:tc>
          <w:tcPr>
            <w:tcW w:w="1025" w:type="dxa"/>
          </w:tcPr>
          <w:p w:rsidR="004B0165" w:rsidRPr="000A5113" w:rsidRDefault="004B0165" w:rsidP="00A16A4D">
            <w:pPr>
              <w:pStyle w:val="2"/>
              <w:spacing w:after="0" w:line="240" w:lineRule="auto"/>
              <w:jc w:val="center"/>
              <w:rPr>
                <w:szCs w:val="28"/>
              </w:rPr>
            </w:pPr>
            <w:r w:rsidRPr="000A5113">
              <w:rPr>
                <w:szCs w:val="28"/>
              </w:rPr>
              <w:t>1</w:t>
            </w:r>
          </w:p>
        </w:tc>
        <w:tc>
          <w:tcPr>
            <w:tcW w:w="1025" w:type="dxa"/>
          </w:tcPr>
          <w:p w:rsidR="004B0165" w:rsidRPr="000A5113" w:rsidRDefault="004B0165" w:rsidP="00A16A4D">
            <w:pPr>
              <w:pStyle w:val="2"/>
              <w:spacing w:after="0" w:line="240" w:lineRule="auto"/>
              <w:jc w:val="center"/>
              <w:rPr>
                <w:szCs w:val="28"/>
              </w:rPr>
            </w:pPr>
            <w:r w:rsidRPr="000A5113">
              <w:rPr>
                <w:szCs w:val="28"/>
              </w:rPr>
              <w:t>2</w:t>
            </w:r>
          </w:p>
        </w:tc>
        <w:tc>
          <w:tcPr>
            <w:tcW w:w="1026" w:type="dxa"/>
          </w:tcPr>
          <w:p w:rsidR="004B0165" w:rsidRPr="000A5113" w:rsidRDefault="004B0165" w:rsidP="00A16A4D">
            <w:pPr>
              <w:pStyle w:val="2"/>
              <w:spacing w:after="0" w:line="240" w:lineRule="auto"/>
              <w:jc w:val="center"/>
              <w:rPr>
                <w:szCs w:val="28"/>
              </w:rPr>
            </w:pPr>
            <w:r w:rsidRPr="000A5113">
              <w:rPr>
                <w:szCs w:val="28"/>
              </w:rPr>
              <w:t>3</w:t>
            </w:r>
          </w:p>
        </w:tc>
        <w:tc>
          <w:tcPr>
            <w:tcW w:w="1025" w:type="dxa"/>
          </w:tcPr>
          <w:p w:rsidR="004B0165" w:rsidRPr="000A5113" w:rsidRDefault="004B0165" w:rsidP="00A16A4D">
            <w:pPr>
              <w:pStyle w:val="2"/>
              <w:spacing w:after="0" w:line="240" w:lineRule="auto"/>
              <w:jc w:val="center"/>
              <w:rPr>
                <w:szCs w:val="28"/>
              </w:rPr>
            </w:pPr>
            <w:r w:rsidRPr="000A5113">
              <w:rPr>
                <w:szCs w:val="28"/>
              </w:rPr>
              <w:t>4</w:t>
            </w:r>
          </w:p>
        </w:tc>
        <w:tc>
          <w:tcPr>
            <w:tcW w:w="1026" w:type="dxa"/>
          </w:tcPr>
          <w:p w:rsidR="004B0165" w:rsidRPr="000A5113" w:rsidRDefault="004B0165" w:rsidP="00A16A4D">
            <w:pPr>
              <w:pStyle w:val="2"/>
              <w:spacing w:after="0" w:line="240" w:lineRule="auto"/>
              <w:jc w:val="center"/>
              <w:rPr>
                <w:szCs w:val="28"/>
              </w:rPr>
            </w:pPr>
            <w:r w:rsidRPr="000A5113">
              <w:rPr>
                <w:szCs w:val="28"/>
              </w:rPr>
              <w:t>5</w:t>
            </w:r>
          </w:p>
        </w:tc>
        <w:tc>
          <w:tcPr>
            <w:tcW w:w="1026" w:type="dxa"/>
          </w:tcPr>
          <w:p w:rsidR="004B0165" w:rsidRPr="000A5113" w:rsidRDefault="004B0165" w:rsidP="00A16A4D">
            <w:pPr>
              <w:pStyle w:val="2"/>
              <w:spacing w:after="0" w:line="240" w:lineRule="auto"/>
              <w:jc w:val="center"/>
              <w:rPr>
                <w:szCs w:val="28"/>
              </w:rPr>
            </w:pPr>
            <w:r w:rsidRPr="000A5113">
              <w:rPr>
                <w:szCs w:val="28"/>
              </w:rPr>
              <w:t>6</w:t>
            </w:r>
          </w:p>
        </w:tc>
        <w:tc>
          <w:tcPr>
            <w:tcW w:w="1026" w:type="dxa"/>
          </w:tcPr>
          <w:p w:rsidR="004B0165" w:rsidRPr="000A5113" w:rsidRDefault="004B0165" w:rsidP="00A16A4D">
            <w:pPr>
              <w:pStyle w:val="2"/>
              <w:spacing w:after="0" w:line="240" w:lineRule="auto"/>
              <w:jc w:val="center"/>
              <w:rPr>
                <w:szCs w:val="28"/>
              </w:rPr>
            </w:pPr>
            <w:r w:rsidRPr="000A5113">
              <w:rPr>
                <w:szCs w:val="28"/>
              </w:rPr>
              <w:t>7</w:t>
            </w:r>
          </w:p>
        </w:tc>
        <w:tc>
          <w:tcPr>
            <w:tcW w:w="1026" w:type="dxa"/>
          </w:tcPr>
          <w:p w:rsidR="004B0165" w:rsidRPr="000A5113" w:rsidRDefault="004B0165" w:rsidP="00A16A4D">
            <w:pPr>
              <w:pStyle w:val="2"/>
              <w:spacing w:after="0" w:line="240" w:lineRule="auto"/>
              <w:jc w:val="center"/>
              <w:rPr>
                <w:szCs w:val="28"/>
              </w:rPr>
            </w:pPr>
            <w:r w:rsidRPr="000A5113">
              <w:rPr>
                <w:szCs w:val="28"/>
              </w:rPr>
              <w:t>8</w:t>
            </w:r>
          </w:p>
        </w:tc>
      </w:tr>
      <w:tr w:rsidR="004B0165" w:rsidRPr="000A5113" w:rsidTr="00A16A4D">
        <w:trPr>
          <w:trHeight w:val="322"/>
          <w:jc w:val="center"/>
        </w:trPr>
        <w:tc>
          <w:tcPr>
            <w:tcW w:w="1081" w:type="dxa"/>
          </w:tcPr>
          <w:p w:rsidR="004B0165" w:rsidRPr="000A5113" w:rsidRDefault="004B0165" w:rsidP="00A16A4D">
            <w:pPr>
              <w:pStyle w:val="2"/>
              <w:spacing w:after="0" w:line="240" w:lineRule="auto"/>
              <w:jc w:val="center"/>
              <w:rPr>
                <w:szCs w:val="28"/>
              </w:rPr>
            </w:pPr>
            <w:r w:rsidRPr="000A5113">
              <w:rPr>
                <w:szCs w:val="28"/>
              </w:rPr>
              <w:t>А</w:t>
            </w:r>
          </w:p>
        </w:tc>
        <w:tc>
          <w:tcPr>
            <w:tcW w:w="1025" w:type="dxa"/>
          </w:tcPr>
          <w:p w:rsidR="004B0165" w:rsidRPr="000A5113" w:rsidRDefault="004B0165" w:rsidP="00A16A4D">
            <w:pPr>
              <w:pStyle w:val="2"/>
              <w:spacing w:after="0" w:line="240" w:lineRule="auto"/>
              <w:jc w:val="center"/>
              <w:rPr>
                <w:szCs w:val="28"/>
              </w:rPr>
            </w:pPr>
            <w:r w:rsidRPr="000A5113">
              <w:rPr>
                <w:szCs w:val="28"/>
              </w:rPr>
              <w:t>-2</w:t>
            </w:r>
            <w:r>
              <w:rPr>
                <w:szCs w:val="28"/>
              </w:rPr>
              <w:t>5</w:t>
            </w:r>
            <w:r w:rsidRPr="000A5113">
              <w:rPr>
                <w:szCs w:val="28"/>
              </w:rPr>
              <w:t>0</w:t>
            </w:r>
          </w:p>
        </w:tc>
        <w:tc>
          <w:tcPr>
            <w:tcW w:w="1025" w:type="dxa"/>
          </w:tcPr>
          <w:p w:rsidR="004B0165" w:rsidRPr="000A5113" w:rsidRDefault="004B0165" w:rsidP="00A16A4D">
            <w:pPr>
              <w:pStyle w:val="2"/>
              <w:spacing w:after="0" w:line="240" w:lineRule="auto"/>
              <w:jc w:val="center"/>
              <w:rPr>
                <w:szCs w:val="28"/>
              </w:rPr>
            </w:pPr>
            <w:r w:rsidRPr="000A5113">
              <w:rPr>
                <w:szCs w:val="28"/>
              </w:rPr>
              <w:t>-3</w:t>
            </w:r>
            <w:r>
              <w:rPr>
                <w:szCs w:val="28"/>
              </w:rPr>
              <w:t>5</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1</w:t>
            </w:r>
            <w:r>
              <w:rPr>
                <w:szCs w:val="28"/>
              </w:rPr>
              <w:t>5</w:t>
            </w:r>
            <w:r w:rsidRPr="000A5113">
              <w:rPr>
                <w:szCs w:val="28"/>
              </w:rPr>
              <w:t>0</w:t>
            </w:r>
          </w:p>
        </w:tc>
        <w:tc>
          <w:tcPr>
            <w:tcW w:w="1025" w:type="dxa"/>
          </w:tcPr>
          <w:p w:rsidR="004B0165" w:rsidRPr="000A5113" w:rsidRDefault="004B0165" w:rsidP="00A16A4D">
            <w:pPr>
              <w:pStyle w:val="2"/>
              <w:spacing w:after="0" w:line="240" w:lineRule="auto"/>
              <w:jc w:val="center"/>
              <w:rPr>
                <w:szCs w:val="28"/>
              </w:rPr>
            </w:pPr>
            <w:r w:rsidRPr="000A5113">
              <w:rPr>
                <w:szCs w:val="28"/>
              </w:rPr>
              <w:t>3</w:t>
            </w:r>
            <w:r>
              <w:rPr>
                <w:szCs w:val="28"/>
              </w:rPr>
              <w:t>5</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4</w:t>
            </w:r>
            <w:r>
              <w:rPr>
                <w:szCs w:val="28"/>
              </w:rPr>
              <w:t>5</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4</w:t>
            </w:r>
            <w:r>
              <w:rPr>
                <w:szCs w:val="28"/>
              </w:rPr>
              <w:t>5</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3</w:t>
            </w:r>
            <w:r>
              <w:rPr>
                <w:szCs w:val="28"/>
              </w:rPr>
              <w:t>6</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0</w:t>
            </w:r>
          </w:p>
        </w:tc>
      </w:tr>
      <w:tr w:rsidR="004B0165" w:rsidRPr="000A5113" w:rsidTr="00A16A4D">
        <w:trPr>
          <w:trHeight w:val="322"/>
          <w:jc w:val="center"/>
        </w:trPr>
        <w:tc>
          <w:tcPr>
            <w:tcW w:w="1081" w:type="dxa"/>
          </w:tcPr>
          <w:p w:rsidR="004B0165" w:rsidRPr="000A5113" w:rsidRDefault="004B0165" w:rsidP="00A16A4D">
            <w:pPr>
              <w:pStyle w:val="2"/>
              <w:spacing w:after="0" w:line="240" w:lineRule="auto"/>
              <w:jc w:val="center"/>
              <w:rPr>
                <w:szCs w:val="28"/>
              </w:rPr>
            </w:pPr>
            <w:r w:rsidRPr="000A5113">
              <w:rPr>
                <w:szCs w:val="28"/>
              </w:rPr>
              <w:t>Б</w:t>
            </w:r>
          </w:p>
        </w:tc>
        <w:tc>
          <w:tcPr>
            <w:tcW w:w="1025" w:type="dxa"/>
          </w:tcPr>
          <w:p w:rsidR="004B0165" w:rsidRPr="000A5113" w:rsidRDefault="004B0165" w:rsidP="00A16A4D">
            <w:pPr>
              <w:pStyle w:val="2"/>
              <w:spacing w:after="0" w:line="240" w:lineRule="auto"/>
              <w:jc w:val="center"/>
              <w:rPr>
                <w:szCs w:val="28"/>
              </w:rPr>
            </w:pPr>
            <w:r w:rsidRPr="000A5113">
              <w:rPr>
                <w:szCs w:val="28"/>
              </w:rPr>
              <w:t>-4</w:t>
            </w:r>
            <w:r>
              <w:rPr>
                <w:szCs w:val="28"/>
              </w:rPr>
              <w:t>5</w:t>
            </w:r>
            <w:r w:rsidRPr="000A5113">
              <w:rPr>
                <w:szCs w:val="28"/>
              </w:rPr>
              <w:t>0</w:t>
            </w:r>
          </w:p>
        </w:tc>
        <w:tc>
          <w:tcPr>
            <w:tcW w:w="1025" w:type="dxa"/>
          </w:tcPr>
          <w:p w:rsidR="004B0165" w:rsidRPr="000A5113" w:rsidRDefault="004B0165" w:rsidP="00A16A4D">
            <w:pPr>
              <w:pStyle w:val="2"/>
              <w:spacing w:after="0" w:line="240" w:lineRule="auto"/>
              <w:jc w:val="center"/>
              <w:rPr>
                <w:szCs w:val="28"/>
              </w:rPr>
            </w:pPr>
            <w:r w:rsidRPr="000A5113">
              <w:rPr>
                <w:szCs w:val="28"/>
              </w:rPr>
              <w:t>-100</w:t>
            </w:r>
          </w:p>
        </w:tc>
        <w:tc>
          <w:tcPr>
            <w:tcW w:w="1026" w:type="dxa"/>
          </w:tcPr>
          <w:p w:rsidR="004B0165" w:rsidRPr="000A5113" w:rsidRDefault="004B0165" w:rsidP="00A16A4D">
            <w:pPr>
              <w:pStyle w:val="2"/>
              <w:spacing w:after="0" w:line="240" w:lineRule="auto"/>
              <w:jc w:val="center"/>
              <w:rPr>
                <w:szCs w:val="28"/>
              </w:rPr>
            </w:pPr>
            <w:r w:rsidRPr="000A5113">
              <w:rPr>
                <w:szCs w:val="28"/>
              </w:rPr>
              <w:t>100</w:t>
            </w:r>
          </w:p>
        </w:tc>
        <w:tc>
          <w:tcPr>
            <w:tcW w:w="1025" w:type="dxa"/>
          </w:tcPr>
          <w:p w:rsidR="004B0165" w:rsidRPr="000A5113" w:rsidRDefault="004B0165" w:rsidP="00A16A4D">
            <w:pPr>
              <w:pStyle w:val="2"/>
              <w:spacing w:after="0" w:line="240" w:lineRule="auto"/>
              <w:jc w:val="center"/>
              <w:rPr>
                <w:szCs w:val="28"/>
              </w:rPr>
            </w:pPr>
            <w:r w:rsidRPr="000A5113">
              <w:rPr>
                <w:szCs w:val="28"/>
              </w:rPr>
              <w:t>200</w:t>
            </w:r>
          </w:p>
        </w:tc>
        <w:tc>
          <w:tcPr>
            <w:tcW w:w="1026" w:type="dxa"/>
          </w:tcPr>
          <w:p w:rsidR="004B0165" w:rsidRPr="000A5113" w:rsidRDefault="004B0165" w:rsidP="00A16A4D">
            <w:pPr>
              <w:pStyle w:val="2"/>
              <w:spacing w:after="0" w:line="240" w:lineRule="auto"/>
              <w:jc w:val="center"/>
              <w:rPr>
                <w:szCs w:val="28"/>
              </w:rPr>
            </w:pPr>
            <w:r w:rsidRPr="000A5113">
              <w:rPr>
                <w:szCs w:val="28"/>
              </w:rPr>
              <w:t>2</w:t>
            </w:r>
            <w:r>
              <w:rPr>
                <w:szCs w:val="28"/>
              </w:rPr>
              <w:t>3</w:t>
            </w:r>
            <w:r w:rsidRPr="000A5113">
              <w:rPr>
                <w:szCs w:val="28"/>
              </w:rPr>
              <w:t>0</w:t>
            </w:r>
          </w:p>
        </w:tc>
        <w:tc>
          <w:tcPr>
            <w:tcW w:w="1026" w:type="dxa"/>
          </w:tcPr>
          <w:p w:rsidR="004B0165" w:rsidRPr="000A5113" w:rsidRDefault="004B0165" w:rsidP="00A16A4D">
            <w:pPr>
              <w:pStyle w:val="2"/>
              <w:spacing w:after="0" w:line="240" w:lineRule="auto"/>
              <w:jc w:val="center"/>
              <w:rPr>
                <w:szCs w:val="28"/>
              </w:rPr>
            </w:pPr>
            <w:r w:rsidRPr="000A5113">
              <w:rPr>
                <w:szCs w:val="28"/>
              </w:rPr>
              <w:t>400</w:t>
            </w:r>
          </w:p>
        </w:tc>
        <w:tc>
          <w:tcPr>
            <w:tcW w:w="1026" w:type="dxa"/>
          </w:tcPr>
          <w:p w:rsidR="004B0165" w:rsidRPr="000A5113" w:rsidRDefault="004B0165" w:rsidP="00A16A4D">
            <w:pPr>
              <w:pStyle w:val="2"/>
              <w:spacing w:after="0" w:line="240" w:lineRule="auto"/>
              <w:jc w:val="center"/>
              <w:rPr>
                <w:szCs w:val="28"/>
              </w:rPr>
            </w:pPr>
            <w:r w:rsidRPr="000A5113">
              <w:rPr>
                <w:szCs w:val="28"/>
              </w:rPr>
              <w:t>400</w:t>
            </w:r>
          </w:p>
        </w:tc>
        <w:tc>
          <w:tcPr>
            <w:tcW w:w="1026" w:type="dxa"/>
          </w:tcPr>
          <w:p w:rsidR="004B0165" w:rsidRPr="000A5113" w:rsidRDefault="004B0165" w:rsidP="00A16A4D">
            <w:pPr>
              <w:pStyle w:val="2"/>
              <w:spacing w:after="0" w:line="240" w:lineRule="auto"/>
              <w:jc w:val="center"/>
              <w:rPr>
                <w:szCs w:val="28"/>
              </w:rPr>
            </w:pPr>
            <w:r w:rsidRPr="000A5113">
              <w:rPr>
                <w:szCs w:val="28"/>
              </w:rPr>
              <w:t>350</w:t>
            </w:r>
          </w:p>
        </w:tc>
      </w:tr>
    </w:tbl>
    <w:p w:rsidR="004B0165" w:rsidRDefault="004B0165" w:rsidP="004B0165">
      <w:pPr>
        <w:pStyle w:val="a3"/>
        <w:spacing w:after="0" w:line="240" w:lineRule="auto"/>
        <w:ind w:left="0" w:firstLine="720"/>
        <w:jc w:val="both"/>
        <w:rPr>
          <w:rFonts w:ascii="Times New Roman" w:hAnsi="Times New Roman" w:cs="Times New Roman"/>
          <w:b/>
          <w:bCs/>
          <w:iCs/>
          <w:sz w:val="24"/>
          <w:szCs w:val="24"/>
          <w:lang w:val="en-US"/>
        </w:rPr>
      </w:pPr>
    </w:p>
    <w:p w:rsidR="004B0165" w:rsidRPr="00405BF7" w:rsidRDefault="004B0165" w:rsidP="004B0165">
      <w:pPr>
        <w:spacing w:after="0" w:line="240" w:lineRule="auto"/>
        <w:ind w:firstLine="708"/>
        <w:jc w:val="both"/>
        <w:rPr>
          <w:rFonts w:ascii="Times New Roman" w:hAnsi="Times New Roman" w:cs="Times New Roman"/>
          <w:b/>
          <w:color w:val="000000"/>
          <w:sz w:val="24"/>
        </w:rPr>
      </w:pPr>
      <w:r w:rsidRPr="00405BF7">
        <w:rPr>
          <w:rFonts w:ascii="Times New Roman" w:hAnsi="Times New Roman" w:cs="Times New Roman"/>
          <w:b/>
          <w:color w:val="000000"/>
          <w:sz w:val="24"/>
        </w:rPr>
        <w:t>Задание 4.</w:t>
      </w:r>
    </w:p>
    <w:p w:rsidR="004B0165" w:rsidRDefault="004B0165" w:rsidP="004B0165">
      <w:pPr>
        <w:spacing w:after="0" w:line="240" w:lineRule="auto"/>
        <w:ind w:firstLine="708"/>
        <w:jc w:val="both"/>
        <w:rPr>
          <w:rFonts w:ascii="Times New Roman" w:hAnsi="Times New Roman" w:cs="Times New Roman"/>
          <w:color w:val="000000"/>
          <w:sz w:val="24"/>
        </w:rPr>
      </w:pPr>
      <w:r w:rsidRPr="00FB77B7">
        <w:rPr>
          <w:rFonts w:ascii="Times New Roman" w:hAnsi="Times New Roman" w:cs="Times New Roman"/>
          <w:color w:val="000000"/>
          <w:sz w:val="24"/>
        </w:rPr>
        <w:t>Рассчитать срок окупаемости проекта, для которого размер инвестиций составляет 1</w:t>
      </w:r>
      <w:r>
        <w:rPr>
          <w:rFonts w:ascii="Times New Roman" w:hAnsi="Times New Roman" w:cs="Times New Roman"/>
          <w:color w:val="000000"/>
          <w:sz w:val="24"/>
        </w:rPr>
        <w:t>,5</w:t>
      </w:r>
      <w:r w:rsidRPr="00FB77B7">
        <w:rPr>
          <w:rFonts w:ascii="Times New Roman" w:hAnsi="Times New Roman" w:cs="Times New Roman"/>
          <w:color w:val="000000"/>
          <w:sz w:val="24"/>
        </w:rPr>
        <w:t xml:space="preserve"> млн руб., а денежные поступления в течение 5 лет будут составлять: 2</w:t>
      </w:r>
      <w:r>
        <w:rPr>
          <w:rFonts w:ascii="Times New Roman" w:hAnsi="Times New Roman" w:cs="Times New Roman"/>
          <w:color w:val="000000"/>
          <w:sz w:val="24"/>
        </w:rPr>
        <w:t>3</w:t>
      </w:r>
      <w:r w:rsidRPr="00FB77B7">
        <w:rPr>
          <w:rFonts w:ascii="Times New Roman" w:hAnsi="Times New Roman" w:cs="Times New Roman"/>
          <w:color w:val="000000"/>
          <w:sz w:val="24"/>
        </w:rPr>
        <w:t>0; 5</w:t>
      </w:r>
      <w:r>
        <w:rPr>
          <w:rFonts w:ascii="Times New Roman" w:hAnsi="Times New Roman" w:cs="Times New Roman"/>
          <w:color w:val="000000"/>
          <w:sz w:val="24"/>
        </w:rPr>
        <w:t>3</w:t>
      </w:r>
      <w:r w:rsidRPr="00FB77B7">
        <w:rPr>
          <w:rFonts w:ascii="Times New Roman" w:hAnsi="Times New Roman" w:cs="Times New Roman"/>
          <w:color w:val="000000"/>
          <w:sz w:val="24"/>
        </w:rPr>
        <w:t>0; 6</w:t>
      </w:r>
      <w:r>
        <w:rPr>
          <w:rFonts w:ascii="Times New Roman" w:hAnsi="Times New Roman" w:cs="Times New Roman"/>
          <w:color w:val="000000"/>
          <w:sz w:val="24"/>
        </w:rPr>
        <w:t>1</w:t>
      </w:r>
      <w:r w:rsidRPr="00FB77B7">
        <w:rPr>
          <w:rFonts w:ascii="Times New Roman" w:hAnsi="Times New Roman" w:cs="Times New Roman"/>
          <w:color w:val="000000"/>
          <w:sz w:val="24"/>
        </w:rPr>
        <w:t>0; 8</w:t>
      </w:r>
      <w:r>
        <w:rPr>
          <w:rFonts w:ascii="Times New Roman" w:hAnsi="Times New Roman" w:cs="Times New Roman"/>
          <w:color w:val="000000"/>
          <w:sz w:val="24"/>
        </w:rPr>
        <w:t>2</w:t>
      </w:r>
      <w:r w:rsidRPr="00FB77B7">
        <w:rPr>
          <w:rFonts w:ascii="Times New Roman" w:hAnsi="Times New Roman" w:cs="Times New Roman"/>
          <w:color w:val="000000"/>
          <w:sz w:val="24"/>
        </w:rPr>
        <w:t>0; 9</w:t>
      </w:r>
      <w:r>
        <w:rPr>
          <w:rFonts w:ascii="Times New Roman" w:hAnsi="Times New Roman" w:cs="Times New Roman"/>
          <w:color w:val="000000"/>
          <w:sz w:val="24"/>
        </w:rPr>
        <w:t>5</w:t>
      </w:r>
      <w:r w:rsidRPr="00FB77B7">
        <w:rPr>
          <w:rFonts w:ascii="Times New Roman" w:hAnsi="Times New Roman" w:cs="Times New Roman"/>
          <w:color w:val="000000"/>
          <w:sz w:val="24"/>
        </w:rPr>
        <w:t>0 тыс. руб. соответственно. Ставка дисконтирования 1</w:t>
      </w:r>
      <w:r>
        <w:rPr>
          <w:rFonts w:ascii="Times New Roman" w:hAnsi="Times New Roman" w:cs="Times New Roman"/>
          <w:color w:val="000000"/>
          <w:sz w:val="24"/>
        </w:rPr>
        <w:t>2</w:t>
      </w:r>
      <w:r w:rsidRPr="00FB77B7">
        <w:rPr>
          <w:rFonts w:ascii="Times New Roman" w:hAnsi="Times New Roman" w:cs="Times New Roman"/>
          <w:color w:val="000000"/>
          <w:sz w:val="24"/>
        </w:rPr>
        <w:t>%.</w:t>
      </w:r>
    </w:p>
    <w:tbl>
      <w:tblPr>
        <w:tblStyle w:val="a5"/>
        <w:tblW w:w="0" w:type="auto"/>
        <w:tblLook w:val="04A0" w:firstRow="1" w:lastRow="0" w:firstColumn="1" w:lastColumn="0" w:noHBand="0" w:noVBand="1"/>
      </w:tblPr>
      <w:tblGrid>
        <w:gridCol w:w="3879"/>
        <w:gridCol w:w="907"/>
        <w:gridCol w:w="851"/>
        <w:gridCol w:w="850"/>
        <w:gridCol w:w="1134"/>
        <w:gridCol w:w="1015"/>
        <w:gridCol w:w="1785"/>
      </w:tblGrid>
      <w:tr w:rsidR="004B0165" w:rsidTr="00A16A4D">
        <w:tc>
          <w:tcPr>
            <w:tcW w:w="3879" w:type="dxa"/>
          </w:tcPr>
          <w:p w:rsidR="004B0165" w:rsidRPr="00244458" w:rsidRDefault="004B0165" w:rsidP="00A16A4D">
            <w:pPr>
              <w:jc w:val="both"/>
              <w:rPr>
                <w:rFonts w:ascii="Times New Roman" w:hAnsi="Times New Roman" w:cs="Times New Roman"/>
                <w:sz w:val="24"/>
                <w:szCs w:val="24"/>
              </w:rPr>
            </w:pPr>
            <w:r>
              <w:rPr>
                <w:rFonts w:ascii="Times New Roman" w:hAnsi="Times New Roman" w:cs="Times New Roman"/>
                <w:sz w:val="24"/>
                <w:szCs w:val="24"/>
              </w:rPr>
              <w:t>Период</w:t>
            </w:r>
          </w:p>
        </w:tc>
        <w:tc>
          <w:tcPr>
            <w:tcW w:w="907" w:type="dxa"/>
          </w:tcPr>
          <w:p w:rsidR="004B0165" w:rsidRPr="00244458" w:rsidRDefault="004B0165" w:rsidP="00A16A4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B0165" w:rsidRPr="00244458" w:rsidRDefault="004B0165" w:rsidP="00A16A4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B0165" w:rsidRPr="00244458" w:rsidRDefault="004B0165" w:rsidP="00A16A4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B0165" w:rsidRPr="00244458" w:rsidRDefault="004B0165" w:rsidP="00A16A4D">
            <w:pPr>
              <w:jc w:val="center"/>
              <w:rPr>
                <w:rFonts w:ascii="Times New Roman" w:hAnsi="Times New Roman" w:cs="Times New Roman"/>
                <w:sz w:val="24"/>
                <w:szCs w:val="24"/>
              </w:rPr>
            </w:pPr>
            <w:r>
              <w:rPr>
                <w:rFonts w:ascii="Times New Roman" w:hAnsi="Times New Roman" w:cs="Times New Roman"/>
                <w:sz w:val="24"/>
                <w:szCs w:val="24"/>
              </w:rPr>
              <w:t>3</w:t>
            </w:r>
          </w:p>
        </w:tc>
        <w:tc>
          <w:tcPr>
            <w:tcW w:w="1015" w:type="dxa"/>
          </w:tcPr>
          <w:p w:rsidR="004B0165" w:rsidRPr="00244458" w:rsidRDefault="004B0165" w:rsidP="00A16A4D">
            <w:pPr>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4B0165" w:rsidRDefault="004B0165" w:rsidP="00A16A4D">
            <w:pPr>
              <w:jc w:val="center"/>
              <w:rPr>
                <w:rFonts w:ascii="Times New Roman" w:hAnsi="Times New Roman" w:cs="Times New Roman"/>
                <w:sz w:val="24"/>
                <w:szCs w:val="24"/>
              </w:rPr>
            </w:pPr>
            <w:r>
              <w:rPr>
                <w:rFonts w:ascii="Times New Roman" w:hAnsi="Times New Roman" w:cs="Times New Roman"/>
                <w:sz w:val="24"/>
                <w:szCs w:val="24"/>
              </w:rPr>
              <w:t>5</w:t>
            </w:r>
          </w:p>
        </w:tc>
      </w:tr>
      <w:tr w:rsidR="004B0165" w:rsidTr="00A16A4D">
        <w:tc>
          <w:tcPr>
            <w:tcW w:w="3879" w:type="dxa"/>
          </w:tcPr>
          <w:p w:rsidR="004B0165" w:rsidRPr="00244458" w:rsidRDefault="004B0165" w:rsidP="00A16A4D">
            <w:pPr>
              <w:jc w:val="both"/>
              <w:rPr>
                <w:rFonts w:ascii="Times New Roman" w:hAnsi="Times New Roman" w:cs="Times New Roman"/>
                <w:sz w:val="24"/>
                <w:szCs w:val="24"/>
              </w:rPr>
            </w:pPr>
            <w:r>
              <w:rPr>
                <w:rFonts w:ascii="Times New Roman" w:hAnsi="Times New Roman" w:cs="Times New Roman"/>
                <w:sz w:val="24"/>
                <w:szCs w:val="24"/>
              </w:rPr>
              <w:t>Денежный поток</w:t>
            </w:r>
          </w:p>
        </w:tc>
        <w:tc>
          <w:tcPr>
            <w:tcW w:w="907" w:type="dxa"/>
          </w:tcPr>
          <w:p w:rsidR="004B0165" w:rsidRPr="00244458" w:rsidRDefault="004B0165" w:rsidP="00A16A4D">
            <w:pPr>
              <w:jc w:val="both"/>
              <w:rPr>
                <w:rFonts w:ascii="Times New Roman" w:hAnsi="Times New Roman" w:cs="Times New Roman"/>
                <w:sz w:val="24"/>
                <w:szCs w:val="24"/>
              </w:rPr>
            </w:pPr>
          </w:p>
        </w:tc>
        <w:tc>
          <w:tcPr>
            <w:tcW w:w="851" w:type="dxa"/>
          </w:tcPr>
          <w:p w:rsidR="004B0165" w:rsidRPr="00244458" w:rsidRDefault="004B0165" w:rsidP="00A16A4D">
            <w:pPr>
              <w:jc w:val="both"/>
              <w:rPr>
                <w:rFonts w:ascii="Times New Roman" w:hAnsi="Times New Roman" w:cs="Times New Roman"/>
                <w:sz w:val="24"/>
                <w:szCs w:val="24"/>
              </w:rPr>
            </w:pPr>
          </w:p>
        </w:tc>
        <w:tc>
          <w:tcPr>
            <w:tcW w:w="850" w:type="dxa"/>
          </w:tcPr>
          <w:p w:rsidR="004B0165" w:rsidRPr="00244458" w:rsidRDefault="004B0165" w:rsidP="00A16A4D">
            <w:pPr>
              <w:jc w:val="both"/>
              <w:rPr>
                <w:rFonts w:ascii="Times New Roman" w:hAnsi="Times New Roman" w:cs="Times New Roman"/>
                <w:sz w:val="24"/>
                <w:szCs w:val="24"/>
              </w:rPr>
            </w:pPr>
          </w:p>
        </w:tc>
        <w:tc>
          <w:tcPr>
            <w:tcW w:w="1134" w:type="dxa"/>
          </w:tcPr>
          <w:p w:rsidR="004B0165" w:rsidRPr="00244458" w:rsidRDefault="004B0165" w:rsidP="00A16A4D">
            <w:pPr>
              <w:jc w:val="both"/>
              <w:rPr>
                <w:rFonts w:ascii="Times New Roman" w:hAnsi="Times New Roman" w:cs="Times New Roman"/>
                <w:sz w:val="24"/>
                <w:szCs w:val="24"/>
              </w:rPr>
            </w:pPr>
          </w:p>
        </w:tc>
        <w:tc>
          <w:tcPr>
            <w:tcW w:w="1015" w:type="dxa"/>
          </w:tcPr>
          <w:p w:rsidR="004B0165" w:rsidRPr="00244458" w:rsidRDefault="004B0165" w:rsidP="00A16A4D">
            <w:pPr>
              <w:jc w:val="both"/>
              <w:rPr>
                <w:rFonts w:ascii="Times New Roman" w:hAnsi="Times New Roman" w:cs="Times New Roman"/>
                <w:sz w:val="24"/>
                <w:szCs w:val="24"/>
              </w:rPr>
            </w:pPr>
          </w:p>
        </w:tc>
        <w:tc>
          <w:tcPr>
            <w:tcW w:w="1785" w:type="dxa"/>
          </w:tcPr>
          <w:p w:rsidR="004B0165" w:rsidRPr="00244458" w:rsidRDefault="004B0165" w:rsidP="00A16A4D">
            <w:pPr>
              <w:jc w:val="both"/>
              <w:rPr>
                <w:rFonts w:ascii="Times New Roman" w:hAnsi="Times New Roman" w:cs="Times New Roman"/>
                <w:sz w:val="24"/>
                <w:szCs w:val="24"/>
              </w:rPr>
            </w:pPr>
          </w:p>
        </w:tc>
      </w:tr>
      <w:tr w:rsidR="004B0165" w:rsidTr="00A16A4D">
        <w:tc>
          <w:tcPr>
            <w:tcW w:w="3879" w:type="dxa"/>
          </w:tcPr>
          <w:p w:rsidR="004B0165" w:rsidRPr="00244458" w:rsidRDefault="004B0165" w:rsidP="00A16A4D">
            <w:pPr>
              <w:jc w:val="both"/>
              <w:rPr>
                <w:rFonts w:ascii="Times New Roman" w:hAnsi="Times New Roman" w:cs="Times New Roman"/>
                <w:sz w:val="24"/>
                <w:szCs w:val="24"/>
              </w:rPr>
            </w:pPr>
            <w:r>
              <w:rPr>
                <w:rFonts w:ascii="Times New Roman" w:hAnsi="Times New Roman" w:cs="Times New Roman"/>
                <w:sz w:val="24"/>
                <w:szCs w:val="24"/>
              </w:rPr>
              <w:t>Дисконтированный денежный поток</w:t>
            </w:r>
          </w:p>
        </w:tc>
        <w:tc>
          <w:tcPr>
            <w:tcW w:w="907" w:type="dxa"/>
          </w:tcPr>
          <w:p w:rsidR="004B0165" w:rsidRPr="00244458" w:rsidRDefault="004B0165" w:rsidP="00A16A4D">
            <w:pPr>
              <w:jc w:val="both"/>
              <w:rPr>
                <w:rFonts w:ascii="Times New Roman" w:hAnsi="Times New Roman" w:cs="Times New Roman"/>
                <w:sz w:val="24"/>
                <w:szCs w:val="24"/>
              </w:rPr>
            </w:pPr>
          </w:p>
        </w:tc>
        <w:tc>
          <w:tcPr>
            <w:tcW w:w="851" w:type="dxa"/>
          </w:tcPr>
          <w:p w:rsidR="004B0165" w:rsidRPr="00244458" w:rsidRDefault="004B0165" w:rsidP="00A16A4D">
            <w:pPr>
              <w:jc w:val="both"/>
              <w:rPr>
                <w:rFonts w:ascii="Times New Roman" w:hAnsi="Times New Roman" w:cs="Times New Roman"/>
                <w:sz w:val="24"/>
                <w:szCs w:val="24"/>
              </w:rPr>
            </w:pPr>
          </w:p>
        </w:tc>
        <w:tc>
          <w:tcPr>
            <w:tcW w:w="850" w:type="dxa"/>
          </w:tcPr>
          <w:p w:rsidR="004B0165" w:rsidRPr="00244458" w:rsidRDefault="004B0165" w:rsidP="00A16A4D">
            <w:pPr>
              <w:jc w:val="both"/>
              <w:rPr>
                <w:rFonts w:ascii="Times New Roman" w:hAnsi="Times New Roman" w:cs="Times New Roman"/>
                <w:sz w:val="24"/>
                <w:szCs w:val="24"/>
              </w:rPr>
            </w:pPr>
          </w:p>
        </w:tc>
        <w:tc>
          <w:tcPr>
            <w:tcW w:w="1134" w:type="dxa"/>
          </w:tcPr>
          <w:p w:rsidR="004B0165" w:rsidRPr="00244458" w:rsidRDefault="004B0165" w:rsidP="00A16A4D">
            <w:pPr>
              <w:jc w:val="both"/>
              <w:rPr>
                <w:rFonts w:ascii="Times New Roman" w:hAnsi="Times New Roman" w:cs="Times New Roman"/>
                <w:sz w:val="24"/>
                <w:szCs w:val="24"/>
              </w:rPr>
            </w:pPr>
          </w:p>
        </w:tc>
        <w:tc>
          <w:tcPr>
            <w:tcW w:w="1015" w:type="dxa"/>
          </w:tcPr>
          <w:p w:rsidR="004B0165" w:rsidRPr="00244458" w:rsidRDefault="004B0165" w:rsidP="00A16A4D">
            <w:pPr>
              <w:jc w:val="both"/>
              <w:rPr>
                <w:rFonts w:ascii="Times New Roman" w:hAnsi="Times New Roman" w:cs="Times New Roman"/>
                <w:sz w:val="24"/>
                <w:szCs w:val="24"/>
              </w:rPr>
            </w:pPr>
          </w:p>
        </w:tc>
        <w:tc>
          <w:tcPr>
            <w:tcW w:w="1785" w:type="dxa"/>
          </w:tcPr>
          <w:p w:rsidR="004B0165" w:rsidRPr="00244458" w:rsidRDefault="004B0165" w:rsidP="00A16A4D">
            <w:pPr>
              <w:jc w:val="both"/>
              <w:rPr>
                <w:rFonts w:ascii="Times New Roman" w:hAnsi="Times New Roman" w:cs="Times New Roman"/>
                <w:sz w:val="24"/>
                <w:szCs w:val="24"/>
              </w:rPr>
            </w:pPr>
          </w:p>
        </w:tc>
      </w:tr>
      <w:tr w:rsidR="004B0165" w:rsidTr="00A16A4D">
        <w:tc>
          <w:tcPr>
            <w:tcW w:w="3879" w:type="dxa"/>
          </w:tcPr>
          <w:p w:rsidR="004B0165" w:rsidRPr="00244458" w:rsidRDefault="004B0165" w:rsidP="00A16A4D">
            <w:pPr>
              <w:jc w:val="both"/>
              <w:rPr>
                <w:rFonts w:ascii="Times New Roman" w:hAnsi="Times New Roman" w:cs="Times New Roman"/>
                <w:sz w:val="24"/>
                <w:szCs w:val="24"/>
              </w:rPr>
            </w:pPr>
            <w:r>
              <w:rPr>
                <w:rFonts w:ascii="Times New Roman" w:hAnsi="Times New Roman" w:cs="Times New Roman"/>
                <w:sz w:val="24"/>
                <w:szCs w:val="24"/>
              </w:rPr>
              <w:t>Накопленный дисконтированный денежный поток</w:t>
            </w:r>
          </w:p>
        </w:tc>
        <w:tc>
          <w:tcPr>
            <w:tcW w:w="907" w:type="dxa"/>
          </w:tcPr>
          <w:p w:rsidR="004B0165" w:rsidRPr="00244458" w:rsidRDefault="004B0165" w:rsidP="00A16A4D">
            <w:pPr>
              <w:jc w:val="both"/>
              <w:rPr>
                <w:rFonts w:ascii="Times New Roman" w:hAnsi="Times New Roman" w:cs="Times New Roman"/>
                <w:sz w:val="24"/>
                <w:szCs w:val="24"/>
              </w:rPr>
            </w:pPr>
          </w:p>
        </w:tc>
        <w:tc>
          <w:tcPr>
            <w:tcW w:w="851" w:type="dxa"/>
          </w:tcPr>
          <w:p w:rsidR="004B0165" w:rsidRPr="00244458" w:rsidRDefault="004B0165" w:rsidP="00A16A4D">
            <w:pPr>
              <w:jc w:val="both"/>
              <w:rPr>
                <w:rFonts w:ascii="Times New Roman" w:hAnsi="Times New Roman" w:cs="Times New Roman"/>
                <w:sz w:val="24"/>
                <w:szCs w:val="24"/>
              </w:rPr>
            </w:pPr>
          </w:p>
        </w:tc>
        <w:tc>
          <w:tcPr>
            <w:tcW w:w="850" w:type="dxa"/>
          </w:tcPr>
          <w:p w:rsidR="004B0165" w:rsidRPr="00244458" w:rsidRDefault="004B0165" w:rsidP="00A16A4D">
            <w:pPr>
              <w:jc w:val="both"/>
              <w:rPr>
                <w:rFonts w:ascii="Times New Roman" w:hAnsi="Times New Roman" w:cs="Times New Roman"/>
                <w:sz w:val="24"/>
                <w:szCs w:val="24"/>
              </w:rPr>
            </w:pPr>
          </w:p>
        </w:tc>
        <w:tc>
          <w:tcPr>
            <w:tcW w:w="1134" w:type="dxa"/>
          </w:tcPr>
          <w:p w:rsidR="004B0165" w:rsidRPr="00244458" w:rsidRDefault="004B0165" w:rsidP="00A16A4D">
            <w:pPr>
              <w:jc w:val="both"/>
              <w:rPr>
                <w:rFonts w:ascii="Times New Roman" w:hAnsi="Times New Roman" w:cs="Times New Roman"/>
                <w:sz w:val="24"/>
                <w:szCs w:val="24"/>
              </w:rPr>
            </w:pPr>
          </w:p>
        </w:tc>
        <w:tc>
          <w:tcPr>
            <w:tcW w:w="1015" w:type="dxa"/>
          </w:tcPr>
          <w:p w:rsidR="004B0165" w:rsidRPr="00244458" w:rsidRDefault="004B0165" w:rsidP="00A16A4D">
            <w:pPr>
              <w:jc w:val="both"/>
              <w:rPr>
                <w:rFonts w:ascii="Times New Roman" w:hAnsi="Times New Roman" w:cs="Times New Roman"/>
                <w:sz w:val="24"/>
                <w:szCs w:val="24"/>
              </w:rPr>
            </w:pPr>
          </w:p>
        </w:tc>
        <w:tc>
          <w:tcPr>
            <w:tcW w:w="1785" w:type="dxa"/>
          </w:tcPr>
          <w:p w:rsidR="004B0165" w:rsidRPr="00244458" w:rsidRDefault="004B0165" w:rsidP="00A16A4D">
            <w:pPr>
              <w:jc w:val="both"/>
              <w:rPr>
                <w:rFonts w:ascii="Times New Roman" w:hAnsi="Times New Roman" w:cs="Times New Roman"/>
                <w:sz w:val="24"/>
                <w:szCs w:val="24"/>
              </w:rPr>
            </w:pPr>
          </w:p>
        </w:tc>
      </w:tr>
    </w:tbl>
    <w:p w:rsidR="00114460" w:rsidRDefault="00114460" w:rsidP="00114460">
      <w:pPr>
        <w:pStyle w:val="a8"/>
        <w:tabs>
          <w:tab w:val="clear" w:pos="4677"/>
          <w:tab w:val="clear" w:pos="9355"/>
        </w:tabs>
        <w:ind w:firstLine="708"/>
        <w:jc w:val="both"/>
        <w:rPr>
          <w:rFonts w:ascii="Times New Roman" w:hAnsi="Times New Roman" w:cs="Times New Roman"/>
          <w:sz w:val="24"/>
          <w:szCs w:val="24"/>
        </w:rPr>
      </w:pPr>
    </w:p>
    <w:p w:rsidR="004B0165" w:rsidRDefault="004B0165" w:rsidP="00114460">
      <w:pPr>
        <w:pStyle w:val="a8"/>
        <w:tabs>
          <w:tab w:val="clear" w:pos="4677"/>
          <w:tab w:val="clear" w:pos="9355"/>
        </w:tabs>
        <w:ind w:firstLine="708"/>
        <w:jc w:val="both"/>
        <w:rPr>
          <w:rFonts w:ascii="Times New Roman" w:hAnsi="Times New Roman" w:cs="Times New Roman"/>
          <w:sz w:val="24"/>
          <w:szCs w:val="24"/>
        </w:rPr>
      </w:pPr>
    </w:p>
    <w:p w:rsidR="004B0165" w:rsidRDefault="004B0165" w:rsidP="00114460">
      <w:pPr>
        <w:pStyle w:val="a8"/>
        <w:tabs>
          <w:tab w:val="clear" w:pos="4677"/>
          <w:tab w:val="clear" w:pos="9355"/>
        </w:tabs>
        <w:ind w:firstLine="708"/>
        <w:jc w:val="both"/>
        <w:rPr>
          <w:rFonts w:ascii="Times New Roman" w:hAnsi="Times New Roman" w:cs="Times New Roman"/>
          <w:sz w:val="24"/>
          <w:szCs w:val="24"/>
        </w:rPr>
      </w:pPr>
    </w:p>
    <w:p w:rsidR="004B0165" w:rsidRPr="004B0165" w:rsidRDefault="004B0165" w:rsidP="004B0165">
      <w:pPr>
        <w:pStyle w:val="a8"/>
        <w:tabs>
          <w:tab w:val="clear" w:pos="4677"/>
          <w:tab w:val="clear" w:pos="9355"/>
        </w:tabs>
        <w:ind w:firstLine="708"/>
        <w:jc w:val="center"/>
        <w:rPr>
          <w:rFonts w:ascii="Times New Roman" w:hAnsi="Times New Roman" w:cs="Times New Roman"/>
          <w:b/>
          <w:i/>
          <w:sz w:val="24"/>
          <w:szCs w:val="24"/>
        </w:rPr>
      </w:pPr>
      <w:r w:rsidRPr="004B0165">
        <w:rPr>
          <w:rFonts w:ascii="Times New Roman" w:hAnsi="Times New Roman" w:cs="Times New Roman"/>
          <w:b/>
          <w:i/>
          <w:sz w:val="24"/>
          <w:szCs w:val="24"/>
        </w:rPr>
        <w:t>Методические рекомендации</w:t>
      </w:r>
    </w:p>
    <w:p w:rsidR="004B0165" w:rsidRDefault="004B0165" w:rsidP="004B0165">
      <w:pPr>
        <w:pStyle w:val="a8"/>
        <w:tabs>
          <w:tab w:val="clear" w:pos="4677"/>
          <w:tab w:val="clear" w:pos="9355"/>
        </w:tabs>
        <w:ind w:firstLine="708"/>
        <w:jc w:val="center"/>
        <w:rPr>
          <w:rFonts w:ascii="Times New Roman" w:hAnsi="Times New Roman" w:cs="Times New Roman"/>
          <w:sz w:val="24"/>
          <w:szCs w:val="24"/>
        </w:rPr>
      </w:pPr>
    </w:p>
    <w:p w:rsidR="00114460" w:rsidRPr="00515057" w:rsidRDefault="00114460" w:rsidP="00114460">
      <w:pPr>
        <w:pStyle w:val="a8"/>
        <w:tabs>
          <w:tab w:val="clear" w:pos="4677"/>
          <w:tab w:val="clear" w:pos="9355"/>
        </w:tabs>
        <w:ind w:firstLine="708"/>
        <w:jc w:val="both"/>
        <w:rPr>
          <w:rFonts w:ascii="Times New Roman" w:hAnsi="Times New Roman" w:cs="Times New Roman"/>
          <w:sz w:val="24"/>
          <w:szCs w:val="24"/>
        </w:rPr>
      </w:pPr>
      <w:r w:rsidRPr="00515057">
        <w:rPr>
          <w:rFonts w:ascii="Times New Roman" w:hAnsi="Times New Roman" w:cs="Times New Roman"/>
          <w:sz w:val="24"/>
          <w:szCs w:val="24"/>
        </w:rPr>
        <w:t>В планируемом периоде анализ предстоящей реализации различного вида инвестиционных проектов может осуществляться по двум противоположным направлениям:</w:t>
      </w:r>
    </w:p>
    <w:p w:rsidR="00114460" w:rsidRPr="00515057" w:rsidRDefault="00114460" w:rsidP="00114460">
      <w:pPr>
        <w:pStyle w:val="a8"/>
        <w:numPr>
          <w:ilvl w:val="0"/>
          <w:numId w:val="14"/>
        </w:numPr>
        <w:tabs>
          <w:tab w:val="clear" w:pos="1923"/>
          <w:tab w:val="clear" w:pos="4677"/>
          <w:tab w:val="clear" w:pos="9355"/>
          <w:tab w:val="num" w:pos="1260"/>
        </w:tabs>
        <w:ind w:left="1260" w:hanging="552"/>
        <w:jc w:val="both"/>
        <w:rPr>
          <w:rFonts w:ascii="Times New Roman" w:hAnsi="Times New Roman" w:cs="Times New Roman"/>
          <w:sz w:val="24"/>
          <w:szCs w:val="24"/>
        </w:rPr>
      </w:pPr>
      <w:r w:rsidRPr="00515057">
        <w:rPr>
          <w:rFonts w:ascii="Times New Roman" w:hAnsi="Times New Roman" w:cs="Times New Roman"/>
          <w:sz w:val="24"/>
          <w:szCs w:val="24"/>
        </w:rPr>
        <w:t>Определяется будущая стоимостная оценка первоначальной величины инвестиций и доходов (прибыли, денежных потоков и др.), полученных в результате осуществления этих капиталовложений;</w:t>
      </w:r>
    </w:p>
    <w:p w:rsidR="00114460" w:rsidRPr="00515057" w:rsidRDefault="00114460" w:rsidP="00114460">
      <w:pPr>
        <w:pStyle w:val="a8"/>
        <w:numPr>
          <w:ilvl w:val="0"/>
          <w:numId w:val="14"/>
        </w:numPr>
        <w:tabs>
          <w:tab w:val="clear" w:pos="1923"/>
          <w:tab w:val="clear" w:pos="4677"/>
          <w:tab w:val="clear" w:pos="9355"/>
          <w:tab w:val="num" w:pos="1260"/>
        </w:tabs>
        <w:ind w:left="1260" w:hanging="552"/>
        <w:jc w:val="both"/>
        <w:rPr>
          <w:rFonts w:ascii="Times New Roman" w:hAnsi="Times New Roman" w:cs="Times New Roman"/>
          <w:sz w:val="24"/>
          <w:szCs w:val="24"/>
        </w:rPr>
      </w:pPr>
      <w:r w:rsidRPr="00515057">
        <w:rPr>
          <w:rFonts w:ascii="Times New Roman" w:hAnsi="Times New Roman" w:cs="Times New Roman"/>
          <w:sz w:val="24"/>
          <w:szCs w:val="24"/>
        </w:rPr>
        <w:t>Приращенные в ходе инвестирования денежные средства оцениваются с позиции их текущей (настоящей) стоимости.</w:t>
      </w:r>
    </w:p>
    <w:p w:rsidR="00114460" w:rsidRPr="00515057" w:rsidRDefault="00114460" w:rsidP="00114460">
      <w:pPr>
        <w:pStyle w:val="a8"/>
        <w:tabs>
          <w:tab w:val="clear" w:pos="4677"/>
          <w:tab w:val="clear" w:pos="9355"/>
        </w:tabs>
        <w:ind w:firstLine="708"/>
        <w:jc w:val="both"/>
        <w:rPr>
          <w:rFonts w:ascii="Times New Roman" w:hAnsi="Times New Roman" w:cs="Times New Roman"/>
          <w:sz w:val="24"/>
          <w:szCs w:val="24"/>
        </w:rPr>
      </w:pPr>
      <w:r w:rsidRPr="00515057">
        <w:rPr>
          <w:rFonts w:ascii="Times New Roman" w:hAnsi="Times New Roman" w:cs="Times New Roman"/>
          <w:sz w:val="24"/>
          <w:szCs w:val="24"/>
        </w:rPr>
        <w:lastRenderedPageBreak/>
        <w:t>В соответствии с этим в финансово-инвестиционном анализе используются операции дисконтирования и наращения капитала.</w:t>
      </w:r>
    </w:p>
    <w:p w:rsidR="00114460" w:rsidRPr="00515057" w:rsidRDefault="00114460" w:rsidP="00114460">
      <w:pPr>
        <w:pStyle w:val="a8"/>
        <w:tabs>
          <w:tab w:val="clear" w:pos="4677"/>
          <w:tab w:val="clear" w:pos="9355"/>
        </w:tabs>
        <w:ind w:firstLine="708"/>
        <w:jc w:val="both"/>
        <w:rPr>
          <w:rFonts w:ascii="Times New Roman" w:hAnsi="Times New Roman" w:cs="Times New Roman"/>
          <w:sz w:val="24"/>
          <w:szCs w:val="24"/>
        </w:rPr>
      </w:pPr>
      <w:r w:rsidRPr="00515057">
        <w:rPr>
          <w:rFonts w:ascii="Times New Roman" w:hAnsi="Times New Roman" w:cs="Times New Roman"/>
          <w:sz w:val="24"/>
          <w:szCs w:val="24"/>
        </w:rPr>
        <w:t>Принципиальную схему инвестиционного анализа, осуществляемого с учетом временной ценности денежных вложений можно представить следующим образом</w:t>
      </w:r>
    </w:p>
    <w:p w:rsidR="00114460" w:rsidRPr="00515057" w:rsidRDefault="00114460" w:rsidP="00114460">
      <w:pPr>
        <w:pStyle w:val="a8"/>
        <w:tabs>
          <w:tab w:val="clear" w:pos="4677"/>
          <w:tab w:val="clear" w:pos="9355"/>
        </w:tabs>
        <w:jc w:val="both"/>
        <w:rPr>
          <w:rFonts w:ascii="Times New Roman" w:hAnsi="Times New Roman" w:cs="Times New Roman"/>
          <w:sz w:val="24"/>
          <w:szCs w:val="24"/>
        </w:rPr>
      </w:pPr>
    </w:p>
    <w:p w:rsidR="00114460" w:rsidRPr="003D76E9" w:rsidRDefault="00114460" w:rsidP="00114460">
      <w:pPr>
        <w:pStyle w:val="a8"/>
        <w:tabs>
          <w:tab w:val="clear" w:pos="4677"/>
          <w:tab w:val="clear" w:pos="9355"/>
        </w:tabs>
        <w:jc w:val="both"/>
        <w:rPr>
          <w:rFonts w:ascii="Times New Roman" w:hAnsi="Times New Roman" w:cs="Times New Roman"/>
          <w:color w:val="000000" w:themeColor="text1"/>
          <w:sz w:val="24"/>
          <w:szCs w:val="24"/>
          <w:shd w:val="clear" w:color="auto" w:fill="F3F1ED"/>
        </w:rPr>
      </w:pPr>
      <w:r w:rsidRPr="003D76E9">
        <w:rPr>
          <w:rFonts w:ascii="Times New Roman" w:hAnsi="Times New Roman" w:cs="Times New Roman"/>
          <w:b/>
          <w:color w:val="000000" w:themeColor="text1"/>
          <w:sz w:val="24"/>
          <w:szCs w:val="24"/>
          <w:shd w:val="clear" w:color="auto" w:fill="F3F1ED"/>
        </w:rPr>
        <w:t>Дисконтирование</w:t>
      </w:r>
      <w:r w:rsidRPr="003D76E9">
        <w:rPr>
          <w:rFonts w:ascii="Times New Roman" w:hAnsi="Times New Roman" w:cs="Times New Roman"/>
          <w:color w:val="000000" w:themeColor="text1"/>
          <w:sz w:val="24"/>
          <w:szCs w:val="24"/>
          <w:shd w:val="clear" w:color="auto" w:fill="F3F1ED"/>
        </w:rPr>
        <w:t xml:space="preserve"> — это определение стоимости денежного потока путём приведения стоимости всех выплат к определённому моменту времени. Дисконтирование является базой для расчётов стоимости денег с учётом фактора времени.</w:t>
      </w:r>
    </w:p>
    <w:p w:rsidR="00114460" w:rsidRDefault="00114460" w:rsidP="00114460">
      <w:pPr>
        <w:pStyle w:val="a8"/>
        <w:tabs>
          <w:tab w:val="clear" w:pos="4677"/>
          <w:tab w:val="clear" w:pos="9355"/>
        </w:tabs>
        <w:jc w:val="center"/>
        <w:rPr>
          <w:rFonts w:ascii="Arial" w:hAnsi="Arial" w:cs="Arial"/>
          <w:color w:val="333333"/>
          <w:sz w:val="23"/>
          <w:szCs w:val="23"/>
          <w:shd w:val="clear" w:color="auto" w:fill="F3F1ED"/>
        </w:rPr>
      </w:pPr>
    </w:p>
    <w:p w:rsidR="00114460" w:rsidRPr="00515057" w:rsidRDefault="00114460" w:rsidP="00114460">
      <w:pPr>
        <w:pStyle w:val="a8"/>
        <w:tabs>
          <w:tab w:val="clear" w:pos="4677"/>
          <w:tab w:val="clear" w:pos="9355"/>
        </w:tabs>
        <w:jc w:val="center"/>
        <w:rPr>
          <w:rFonts w:ascii="Times New Roman" w:hAnsi="Times New Roman" w:cs="Times New Roman"/>
          <w:sz w:val="24"/>
          <w:szCs w:val="24"/>
        </w:rPr>
      </w:pPr>
      <w:r w:rsidRPr="00515057">
        <w:rPr>
          <w:rFonts w:ascii="Times New Roman" w:hAnsi="Times New Roman" w:cs="Times New Roman"/>
          <w:sz w:val="24"/>
          <w:szCs w:val="24"/>
        </w:rPr>
        <w:object w:dxaOrig="8820" w:dyaOrig="3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53pt" o:ole="">
            <v:imagedata r:id="rId8" o:title=""/>
          </v:shape>
          <o:OLEObject Type="Embed" ProgID="Word.Picture.8" ShapeID="_x0000_i1025" DrawAspect="Content" ObjectID="_1597811079" r:id="rId9"/>
        </w:object>
      </w:r>
    </w:p>
    <w:p w:rsidR="00114460" w:rsidRDefault="00114460" w:rsidP="00114460">
      <w:pPr>
        <w:spacing w:after="0" w:line="240" w:lineRule="auto"/>
        <w:jc w:val="both"/>
        <w:rPr>
          <w:rFonts w:ascii="Times New Roman" w:hAnsi="Times New Roman" w:cs="Times New Roman"/>
          <w:b/>
        </w:rPr>
      </w:pP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b/>
        </w:rPr>
        <w:t>Чистый дисконтированный доход (</w:t>
      </w:r>
      <w:r w:rsidRPr="00E15289">
        <w:rPr>
          <w:rFonts w:ascii="Times New Roman" w:hAnsi="Times New Roman" w:cs="Times New Roman"/>
          <w:b/>
          <w:lang w:val="en-US"/>
        </w:rPr>
        <w:t>NPV</w:t>
      </w:r>
      <w:r w:rsidRPr="00E15289">
        <w:rPr>
          <w:rFonts w:ascii="Times New Roman" w:hAnsi="Times New Roman" w:cs="Times New Roman"/>
          <w:b/>
        </w:rPr>
        <w:t>)</w:t>
      </w:r>
      <w:r w:rsidRPr="00E15289">
        <w:rPr>
          <w:rFonts w:ascii="Times New Roman" w:hAnsi="Times New Roman" w:cs="Times New Roman"/>
        </w:rPr>
        <w:t xml:space="preserve"> – это сумма текущих доходов за весь расчетный период времени, приведенных к </w:t>
      </w:r>
      <w:r w:rsidRPr="00514EC1">
        <w:rPr>
          <w:rFonts w:ascii="Times New Roman" w:hAnsi="Times New Roman" w:cs="Times New Roman"/>
          <w:u w:val="single"/>
        </w:rPr>
        <w:t>начальному</w:t>
      </w:r>
      <w:r w:rsidRPr="00E15289">
        <w:rPr>
          <w:rFonts w:ascii="Times New Roman" w:hAnsi="Times New Roman" w:cs="Times New Roman"/>
        </w:rPr>
        <w:t xml:space="preserve"> времени (разность между приведенными доходами и приведенными инвестициями). Это основной показатель. Он должен быть больше 0., что означает доходность проекта.</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rPr>
        <w:t xml:space="preserve">Он равен в </w:t>
      </w:r>
      <w:r w:rsidRPr="00514EC1">
        <w:rPr>
          <w:rFonts w:ascii="Times New Roman" w:hAnsi="Times New Roman" w:cs="Times New Roman"/>
          <w:b/>
          <w:i/>
        </w:rPr>
        <w:t>международных обозначениях</w:t>
      </w:r>
      <w:r w:rsidRPr="00E15289">
        <w:rPr>
          <w:rFonts w:ascii="Times New Roman" w:hAnsi="Times New Roman" w:cs="Times New Roman"/>
        </w:rPr>
        <w:t>:</w:t>
      </w:r>
    </w:p>
    <w:p w:rsidR="00114460" w:rsidRPr="00E15289" w:rsidRDefault="00114460" w:rsidP="00114460">
      <w:pPr>
        <w:spacing w:after="0" w:line="240" w:lineRule="auto"/>
        <w:jc w:val="both"/>
        <w:rPr>
          <w:rFonts w:ascii="Times New Roman" w:hAnsi="Times New Roman" w:cs="Times New Roman"/>
        </w:rPr>
      </w:pPr>
    </w:p>
    <w:p w:rsidR="00114460" w:rsidRPr="00E15289" w:rsidRDefault="00114460" w:rsidP="00114460">
      <w:pPr>
        <w:spacing w:after="0" w:line="240" w:lineRule="auto"/>
        <w:jc w:val="center"/>
        <w:rPr>
          <w:rFonts w:ascii="Times New Roman" w:hAnsi="Times New Roman" w:cs="Times New Roman"/>
        </w:rPr>
      </w:pPr>
      <w:r w:rsidRPr="00E15289">
        <w:rPr>
          <w:rFonts w:ascii="Times New Roman" w:hAnsi="Times New Roman" w:cs="Times New Roman"/>
          <w:position w:val="-30"/>
        </w:rPr>
        <w:object w:dxaOrig="2540" w:dyaOrig="700">
          <v:shape id="_x0000_i1026" type="#_x0000_t75" style="width:126.75pt;height:35.25pt" o:ole="">
            <v:imagedata r:id="rId10" o:title=""/>
          </v:shape>
          <o:OLEObject Type="Embed" ProgID="Equation.3" ShapeID="_x0000_i1026" DrawAspect="Content" ObjectID="_1597811080" r:id="rId11"/>
        </w:objec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CIF</w:t>
      </w:r>
      <w:r w:rsidRPr="00E15289">
        <w:rPr>
          <w:rFonts w:ascii="Times New Roman" w:hAnsi="Times New Roman" w:cs="Times New Roman"/>
        </w:rPr>
        <w:t xml:space="preserve"> – поступления от проекта на </w:t>
      </w:r>
      <w:r w:rsidRPr="00E15289">
        <w:rPr>
          <w:rFonts w:ascii="Times New Roman" w:hAnsi="Times New Roman" w:cs="Times New Roman"/>
          <w:lang w:val="en-US"/>
        </w:rPr>
        <w:t>t</w:t>
      </w:r>
      <w:r w:rsidRPr="00E15289">
        <w:rPr>
          <w:rFonts w:ascii="Times New Roman" w:hAnsi="Times New Roman" w:cs="Times New Roman"/>
        </w:rPr>
        <w:t xml:space="preserve"> – м шаге расчета</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COF</w:t>
      </w:r>
      <w:r w:rsidRPr="00E15289">
        <w:rPr>
          <w:rFonts w:ascii="Times New Roman" w:hAnsi="Times New Roman" w:cs="Times New Roman"/>
        </w:rPr>
        <w:t xml:space="preserve"> – инвестиции на </w:t>
      </w:r>
      <w:r w:rsidRPr="00E15289">
        <w:rPr>
          <w:rFonts w:ascii="Times New Roman" w:hAnsi="Times New Roman" w:cs="Times New Roman"/>
          <w:lang w:val="en-US"/>
        </w:rPr>
        <w:t>t</w:t>
      </w:r>
      <w:r w:rsidRPr="00E15289">
        <w:rPr>
          <w:rFonts w:ascii="Times New Roman" w:hAnsi="Times New Roman" w:cs="Times New Roman"/>
        </w:rPr>
        <w:t>-м шаге расчета</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rPr>
        <w:t>Т – продолжительность инвестиционного периода</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r</w:t>
      </w:r>
      <w:r w:rsidRPr="00E15289">
        <w:rPr>
          <w:rFonts w:ascii="Times New Roman" w:hAnsi="Times New Roman" w:cs="Times New Roman"/>
        </w:rPr>
        <w:t xml:space="preserve"> – ставка доходности</w:t>
      </w:r>
    </w:p>
    <w:p w:rsidR="00114460" w:rsidRPr="00E15289" w:rsidRDefault="00114460" w:rsidP="00114460">
      <w:pPr>
        <w:spacing w:after="0" w:line="240" w:lineRule="auto"/>
        <w:jc w:val="both"/>
        <w:rPr>
          <w:rFonts w:ascii="Times New Roman" w:hAnsi="Times New Roman" w:cs="Times New Roman"/>
        </w:rPr>
      </w:pPr>
    </w:p>
    <w:p w:rsidR="00114460" w:rsidRPr="00514EC1" w:rsidRDefault="00114460" w:rsidP="00114460">
      <w:pPr>
        <w:spacing w:after="0" w:line="240" w:lineRule="auto"/>
        <w:jc w:val="both"/>
        <w:rPr>
          <w:rFonts w:ascii="Times New Roman" w:hAnsi="Times New Roman" w:cs="Times New Roman"/>
          <w:b/>
          <w:i/>
        </w:rPr>
      </w:pPr>
      <w:r w:rsidRPr="00514EC1">
        <w:rPr>
          <w:rFonts w:ascii="Times New Roman" w:hAnsi="Times New Roman" w:cs="Times New Roman"/>
          <w:b/>
          <w:i/>
        </w:rPr>
        <w:t>В российских обозначениях</w:t>
      </w:r>
    </w:p>
    <w:p w:rsidR="00114460" w:rsidRPr="00E15289" w:rsidRDefault="00114460" w:rsidP="00114460">
      <w:pPr>
        <w:spacing w:after="0" w:line="240" w:lineRule="auto"/>
        <w:jc w:val="center"/>
        <w:rPr>
          <w:rFonts w:ascii="Times New Roman" w:hAnsi="Times New Roman" w:cs="Times New Roman"/>
        </w:rPr>
      </w:pPr>
      <w:r w:rsidRPr="00E15289">
        <w:rPr>
          <w:rFonts w:ascii="Times New Roman" w:hAnsi="Times New Roman" w:cs="Times New Roman"/>
        </w:rPr>
        <w:t xml:space="preserve">ЧДД = </w:t>
      </w:r>
      <w:r w:rsidRPr="00E15289">
        <w:rPr>
          <w:rFonts w:ascii="Times New Roman" w:hAnsi="Times New Roman" w:cs="Times New Roman"/>
          <w:position w:val="-30"/>
        </w:rPr>
        <w:object w:dxaOrig="2380" w:dyaOrig="700">
          <v:shape id="_x0000_i1027" type="#_x0000_t75" style="width:119.25pt;height:35.25pt" o:ole="">
            <v:imagedata r:id="rId12" o:title=""/>
          </v:shape>
          <o:OLEObject Type="Embed" ProgID="Equation.3" ShapeID="_x0000_i1027" DrawAspect="Content" ObjectID="_1597811081" r:id="rId13"/>
        </w:objec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rPr>
        <w:t>Р – поступления от проекта или результаты на каждом периоде времени</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rPr>
        <w:t xml:space="preserve">З – затраты на </w:t>
      </w:r>
      <w:r w:rsidRPr="00E15289">
        <w:rPr>
          <w:rFonts w:ascii="Times New Roman" w:hAnsi="Times New Roman" w:cs="Times New Roman"/>
          <w:lang w:val="en-US"/>
        </w:rPr>
        <w:t>t</w:t>
      </w:r>
      <w:r w:rsidRPr="00E15289">
        <w:rPr>
          <w:rFonts w:ascii="Times New Roman" w:hAnsi="Times New Roman" w:cs="Times New Roman"/>
        </w:rPr>
        <w:t>-ом интервале без инвестиций</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rPr>
        <w:t>К – дисконтированные инвестиции</w:t>
      </w:r>
    </w:p>
    <w:p w:rsidR="00114460" w:rsidRPr="00E15289" w:rsidRDefault="00114460" w:rsidP="00114460">
      <w:pPr>
        <w:spacing w:after="0" w:line="240" w:lineRule="auto"/>
        <w:jc w:val="both"/>
        <w:rPr>
          <w:rFonts w:ascii="Times New Roman" w:hAnsi="Times New Roman" w:cs="Times New Roman"/>
        </w:rPr>
      </w:pPr>
    </w:p>
    <w:p w:rsidR="00114460" w:rsidRPr="00E15289" w:rsidRDefault="00114460" w:rsidP="00114460">
      <w:pPr>
        <w:spacing w:after="0" w:line="240" w:lineRule="auto"/>
        <w:jc w:val="center"/>
        <w:rPr>
          <w:rFonts w:ascii="Times New Roman" w:hAnsi="Times New Roman" w:cs="Times New Roman"/>
        </w:rPr>
      </w:pPr>
      <w:r w:rsidRPr="00E15289">
        <w:rPr>
          <w:rFonts w:ascii="Times New Roman" w:hAnsi="Times New Roman" w:cs="Times New Roman"/>
          <w:position w:val="-12"/>
        </w:rPr>
        <w:object w:dxaOrig="3180" w:dyaOrig="360">
          <v:shape id="_x0000_i1028" type="#_x0000_t75" style="width:159pt;height:18pt" o:ole="">
            <v:imagedata r:id="rId14" o:title=""/>
          </v:shape>
          <o:OLEObject Type="Embed" ProgID="Equation.3" ShapeID="_x0000_i1028" DrawAspect="Content" ObjectID="_1597811082" r:id="rId15"/>
        </w:objec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n</w:t>
      </w:r>
      <w:r w:rsidRPr="00E15289">
        <w:rPr>
          <w:rFonts w:ascii="Times New Roman" w:hAnsi="Times New Roman" w:cs="Times New Roman"/>
        </w:rPr>
        <w:t>1 – реальная ставка ссудного процента</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n</w:t>
      </w:r>
      <w:r w:rsidRPr="00E15289">
        <w:rPr>
          <w:rFonts w:ascii="Times New Roman" w:hAnsi="Times New Roman" w:cs="Times New Roman"/>
        </w:rPr>
        <w:t>2 – темп инфляции</w:t>
      </w: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lang w:val="en-US"/>
        </w:rPr>
        <w:t>n</w:t>
      </w:r>
      <w:r w:rsidRPr="00E15289">
        <w:rPr>
          <w:rFonts w:ascii="Times New Roman" w:hAnsi="Times New Roman" w:cs="Times New Roman"/>
        </w:rPr>
        <w:t>3 – вероятность риска</w:t>
      </w:r>
    </w:p>
    <w:p w:rsidR="00114460" w:rsidRPr="00E15289" w:rsidRDefault="00114460" w:rsidP="00114460">
      <w:pPr>
        <w:spacing w:after="0" w:line="240" w:lineRule="auto"/>
        <w:jc w:val="both"/>
        <w:rPr>
          <w:rFonts w:ascii="Times New Roman" w:hAnsi="Times New Roman" w:cs="Times New Roman"/>
        </w:rPr>
      </w:pP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b/>
        </w:rPr>
        <w:t>Чистая терминальная стоимость (</w:t>
      </w:r>
      <w:r w:rsidRPr="00E15289">
        <w:rPr>
          <w:rFonts w:ascii="Times New Roman" w:hAnsi="Times New Roman" w:cs="Times New Roman"/>
          <w:b/>
          <w:lang w:val="en-US"/>
        </w:rPr>
        <w:t>NTV</w:t>
      </w:r>
      <w:r w:rsidRPr="00E15289">
        <w:rPr>
          <w:rFonts w:ascii="Times New Roman" w:hAnsi="Times New Roman" w:cs="Times New Roman"/>
          <w:b/>
        </w:rPr>
        <w:t>)</w:t>
      </w:r>
      <w:r w:rsidRPr="00E15289">
        <w:rPr>
          <w:rFonts w:ascii="Times New Roman" w:hAnsi="Times New Roman" w:cs="Times New Roman"/>
        </w:rPr>
        <w:t xml:space="preserve"> </w:t>
      </w:r>
      <w:proofErr w:type="gramStart"/>
      <w:r>
        <w:rPr>
          <w:rFonts w:ascii="Times New Roman" w:hAnsi="Times New Roman" w:cs="Times New Roman"/>
        </w:rPr>
        <w:t>-</w:t>
      </w:r>
      <w:r w:rsidRPr="00E15289">
        <w:rPr>
          <w:rFonts w:ascii="Times New Roman" w:hAnsi="Times New Roman" w:cs="Times New Roman"/>
        </w:rPr>
        <w:t xml:space="preserve"> это</w:t>
      </w:r>
      <w:proofErr w:type="gramEnd"/>
      <w:r w:rsidRPr="00E15289">
        <w:rPr>
          <w:rFonts w:ascii="Times New Roman" w:hAnsi="Times New Roman" w:cs="Times New Roman"/>
        </w:rPr>
        <w:t xml:space="preserve"> наращенные чистые доходы на конец периода. В основе расчета лежит операция наращения (расчет будущей стоимости чистого денежного потока). Для прибыльного проекта значение </w:t>
      </w:r>
      <w:r w:rsidRPr="00514EC1">
        <w:rPr>
          <w:rFonts w:ascii="Times New Roman" w:hAnsi="Times New Roman" w:cs="Times New Roman"/>
          <w:b/>
        </w:rPr>
        <w:t>больше нуля</w:t>
      </w:r>
      <w:r w:rsidRPr="00E15289">
        <w:rPr>
          <w:rFonts w:ascii="Times New Roman" w:hAnsi="Times New Roman" w:cs="Times New Roman"/>
        </w:rPr>
        <w:t>.</w:t>
      </w:r>
    </w:p>
    <w:p w:rsidR="00114460" w:rsidRPr="00E15289" w:rsidRDefault="00114460" w:rsidP="00114460">
      <w:pPr>
        <w:spacing w:after="0" w:line="240" w:lineRule="auto"/>
        <w:jc w:val="both"/>
        <w:rPr>
          <w:rFonts w:ascii="Times New Roman" w:hAnsi="Times New Roman" w:cs="Times New Roman"/>
        </w:rPr>
      </w:pPr>
    </w:p>
    <w:p w:rsidR="00114460" w:rsidRPr="00E15289" w:rsidRDefault="00114460" w:rsidP="00114460">
      <w:pPr>
        <w:spacing w:after="0" w:line="240" w:lineRule="auto"/>
        <w:jc w:val="both"/>
        <w:rPr>
          <w:rFonts w:ascii="Times New Roman" w:hAnsi="Times New Roman" w:cs="Times New Roman"/>
        </w:rPr>
      </w:pPr>
      <w:r w:rsidRPr="00E15289">
        <w:rPr>
          <w:rFonts w:ascii="Times New Roman" w:hAnsi="Times New Roman" w:cs="Times New Roman"/>
          <w:b/>
        </w:rPr>
        <w:t>Индекс доходности (рентабельности) (</w:t>
      </w:r>
      <w:r w:rsidRPr="00E15289">
        <w:rPr>
          <w:rFonts w:ascii="Times New Roman" w:hAnsi="Times New Roman" w:cs="Times New Roman"/>
          <w:b/>
          <w:lang w:val="en-US"/>
        </w:rPr>
        <w:t>PI</w:t>
      </w:r>
      <w:r w:rsidRPr="00E15289">
        <w:rPr>
          <w:rFonts w:ascii="Times New Roman" w:hAnsi="Times New Roman" w:cs="Times New Roman"/>
          <w:b/>
        </w:rPr>
        <w:t>)</w:t>
      </w:r>
      <w:r w:rsidRPr="00E15289">
        <w:rPr>
          <w:rFonts w:ascii="Times New Roman" w:hAnsi="Times New Roman" w:cs="Times New Roman"/>
        </w:rPr>
        <w:t xml:space="preserve"> – отношение суммы приведенных доходов к величине инвестиций. Характеризует величину дохода на единицу затрат. Величина должна быть </w:t>
      </w:r>
      <w:r w:rsidRPr="00514EC1">
        <w:rPr>
          <w:rFonts w:ascii="Times New Roman" w:hAnsi="Times New Roman" w:cs="Times New Roman"/>
          <w:b/>
        </w:rPr>
        <w:t>больше 1</w:t>
      </w:r>
      <w:r w:rsidRPr="00E15289">
        <w:rPr>
          <w:rFonts w:ascii="Times New Roman" w:hAnsi="Times New Roman" w:cs="Times New Roman"/>
        </w:rPr>
        <w:t>.</w:t>
      </w:r>
    </w:p>
    <w:p w:rsidR="00114460" w:rsidRPr="00E15289" w:rsidRDefault="00114460" w:rsidP="00114460">
      <w:pPr>
        <w:spacing w:after="0" w:line="240" w:lineRule="auto"/>
        <w:jc w:val="both"/>
        <w:rPr>
          <w:rFonts w:ascii="Times New Roman" w:hAnsi="Times New Roman" w:cs="Times New Roman"/>
        </w:rPr>
      </w:pPr>
    </w:p>
    <w:p w:rsidR="00114460" w:rsidRPr="00615A76" w:rsidRDefault="00114460" w:rsidP="00114460">
      <w:pPr>
        <w:spacing w:after="0" w:line="240" w:lineRule="auto"/>
        <w:jc w:val="both"/>
        <w:rPr>
          <w:rFonts w:ascii="Times New Roman" w:hAnsi="Times New Roman" w:cs="Times New Roman"/>
          <w:color w:val="000000"/>
          <w:sz w:val="24"/>
        </w:rPr>
      </w:pPr>
      <w:r w:rsidRPr="00E15289">
        <w:rPr>
          <w:rFonts w:ascii="Times New Roman" w:hAnsi="Times New Roman" w:cs="Times New Roman"/>
          <w:b/>
        </w:rPr>
        <w:t>Внутренняя норма доходности (</w:t>
      </w:r>
      <w:r w:rsidRPr="00E15289">
        <w:rPr>
          <w:rFonts w:ascii="Times New Roman" w:hAnsi="Times New Roman" w:cs="Times New Roman"/>
          <w:b/>
          <w:lang w:val="en-US"/>
        </w:rPr>
        <w:t>IRR</w:t>
      </w:r>
      <w:r w:rsidRPr="00E15289">
        <w:rPr>
          <w:rFonts w:ascii="Times New Roman" w:hAnsi="Times New Roman" w:cs="Times New Roman"/>
          <w:b/>
        </w:rPr>
        <w:t>)</w:t>
      </w:r>
      <w:r>
        <w:rPr>
          <w:rFonts w:ascii="Times New Roman" w:hAnsi="Times New Roman" w:cs="Times New Roman"/>
        </w:rPr>
        <w:t xml:space="preserve">. </w:t>
      </w:r>
      <w:r w:rsidRPr="00615A76">
        <w:rPr>
          <w:rFonts w:ascii="Times New Roman" w:hAnsi="Times New Roman" w:cs="Times New Roman"/>
          <w:color w:val="000000"/>
          <w:sz w:val="24"/>
        </w:rPr>
        <w:t xml:space="preserve">При анализе эффективности инвестиционных проектов широко используется показатель </w:t>
      </w:r>
      <w:r w:rsidRPr="00615A76">
        <w:rPr>
          <w:rFonts w:ascii="Times New Roman" w:hAnsi="Times New Roman" w:cs="Times New Roman"/>
          <w:b/>
          <w:bCs/>
          <w:color w:val="000000"/>
          <w:sz w:val="24"/>
        </w:rPr>
        <w:t>внутренней нормы доходности</w:t>
      </w:r>
      <w:r>
        <w:rPr>
          <w:rFonts w:ascii="Times New Roman" w:hAnsi="Times New Roman" w:cs="Times New Roman"/>
          <w:b/>
          <w:bCs/>
          <w:color w:val="000000"/>
          <w:sz w:val="24"/>
        </w:rPr>
        <w:t xml:space="preserve"> </w:t>
      </w:r>
      <w:r w:rsidRPr="00615A76">
        <w:rPr>
          <w:rFonts w:ascii="Times New Roman" w:hAnsi="Times New Roman" w:cs="Times New Roman"/>
          <w:color w:val="000000"/>
          <w:sz w:val="24"/>
        </w:rPr>
        <w:t xml:space="preserve">– это ставка дисконтирования, </w:t>
      </w:r>
      <w:r w:rsidRPr="00615A76">
        <w:rPr>
          <w:rFonts w:ascii="Times New Roman" w:hAnsi="Times New Roman" w:cs="Times New Roman"/>
          <w:color w:val="000000"/>
          <w:sz w:val="24"/>
        </w:rPr>
        <w:lastRenderedPageBreak/>
        <w:t>приравнивающая сумму приведенных доходов от инвестиционного проекта к величине инвестиций, т.е. вложения окупаются, но не приносят прибыль. Величина этой ставки полностью определяется "внутренними" условиями, характеризующими инвестиционный проект.</w:t>
      </w:r>
    </w:p>
    <w:p w:rsidR="00114460" w:rsidRPr="00615A76" w:rsidRDefault="00114460" w:rsidP="00114460">
      <w:pPr>
        <w:spacing w:after="0" w:line="240" w:lineRule="auto"/>
        <w:ind w:firstLine="709"/>
        <w:jc w:val="both"/>
        <w:rPr>
          <w:rFonts w:ascii="Times New Roman" w:hAnsi="Times New Roman" w:cs="Times New Roman"/>
          <w:color w:val="000000"/>
          <w:sz w:val="24"/>
        </w:rPr>
      </w:pPr>
      <w:r w:rsidRPr="00615A76">
        <w:rPr>
          <w:rFonts w:ascii="Times New Roman" w:hAnsi="Times New Roman" w:cs="Times New Roman"/>
          <w:color w:val="000000"/>
          <w:sz w:val="24"/>
        </w:rPr>
        <w:t xml:space="preserve">Применение данного метода сводится к последовательной итерации (повторения) нахождения дисконтирующего множителя, пока не будет обеспечено равенство </w:t>
      </w:r>
      <w:r w:rsidRPr="00615A76">
        <w:rPr>
          <w:rFonts w:ascii="Times New Roman" w:hAnsi="Times New Roman" w:cs="Times New Roman"/>
          <w:i/>
          <w:iCs/>
          <w:color w:val="000000"/>
          <w:sz w:val="24"/>
        </w:rPr>
        <w:t>NPV</w:t>
      </w:r>
      <w:r w:rsidRPr="00615A76">
        <w:rPr>
          <w:rFonts w:ascii="Times New Roman" w:hAnsi="Times New Roman" w:cs="Times New Roman"/>
          <w:color w:val="000000"/>
          <w:sz w:val="24"/>
        </w:rPr>
        <w:t xml:space="preserve"> = 0.</w:t>
      </w:r>
    </w:p>
    <w:p w:rsidR="00114460" w:rsidRPr="00615A76" w:rsidRDefault="00114460" w:rsidP="00114460">
      <w:pPr>
        <w:spacing w:after="0" w:line="240" w:lineRule="auto"/>
        <w:ind w:firstLine="709"/>
        <w:jc w:val="both"/>
        <w:rPr>
          <w:rFonts w:ascii="Times New Roman" w:hAnsi="Times New Roman" w:cs="Times New Roman"/>
          <w:color w:val="000000"/>
          <w:sz w:val="24"/>
        </w:rPr>
      </w:pPr>
      <w:r w:rsidRPr="00615A76">
        <w:rPr>
          <w:rFonts w:ascii="Times New Roman" w:hAnsi="Times New Roman" w:cs="Times New Roman"/>
          <w:color w:val="000000"/>
          <w:sz w:val="24"/>
        </w:rPr>
        <w:t xml:space="preserve">Выбираются два значения коэффициента дисконтирования, при которых функция </w:t>
      </w:r>
      <w:r w:rsidRPr="00615A76">
        <w:rPr>
          <w:rFonts w:ascii="Times New Roman" w:hAnsi="Times New Roman" w:cs="Times New Roman"/>
          <w:i/>
          <w:iCs/>
          <w:color w:val="000000"/>
          <w:sz w:val="24"/>
        </w:rPr>
        <w:t>NPV</w:t>
      </w:r>
      <w:r w:rsidRPr="00615A76">
        <w:rPr>
          <w:rFonts w:ascii="Times New Roman" w:hAnsi="Times New Roman" w:cs="Times New Roman"/>
          <w:color w:val="000000"/>
          <w:sz w:val="24"/>
        </w:rPr>
        <w:t xml:space="preserve"> меняет свой знак, и используют формулу:</w:t>
      </w:r>
    </w:p>
    <w:p w:rsidR="00114460" w:rsidRPr="00615A76" w:rsidRDefault="00114460" w:rsidP="00114460">
      <w:pPr>
        <w:spacing w:after="0" w:line="240" w:lineRule="auto"/>
        <w:ind w:firstLine="709"/>
        <w:rPr>
          <w:rFonts w:ascii="Times New Roman" w:hAnsi="Times New Roman" w:cs="Times New Roman"/>
          <w:color w:val="000000"/>
          <w:sz w:val="24"/>
        </w:rPr>
      </w:pPr>
    </w:p>
    <w:p w:rsidR="00114460" w:rsidRPr="00615A76" w:rsidRDefault="00114460" w:rsidP="00114460">
      <w:pPr>
        <w:spacing w:after="0" w:line="240" w:lineRule="auto"/>
        <w:ind w:firstLine="709"/>
        <w:jc w:val="center"/>
        <w:rPr>
          <w:rFonts w:ascii="Times New Roman" w:hAnsi="Times New Roman" w:cs="Times New Roman"/>
          <w:color w:val="000000"/>
          <w:sz w:val="24"/>
          <w:lang w:val="en-US"/>
        </w:rPr>
      </w:pPr>
      <w:r w:rsidRPr="00615A76">
        <w:rPr>
          <w:rFonts w:ascii="Times New Roman" w:hAnsi="Times New Roman" w:cs="Times New Roman"/>
          <w:i/>
          <w:iCs/>
          <w:color w:val="000000"/>
          <w:sz w:val="24"/>
          <w:lang w:val="en-US"/>
        </w:rPr>
        <w:t>IRR = i</w:t>
      </w:r>
      <w:r w:rsidRPr="00615A76">
        <w:rPr>
          <w:rFonts w:ascii="Times New Roman" w:hAnsi="Times New Roman" w:cs="Times New Roman"/>
          <w:color w:val="000000"/>
          <w:sz w:val="24"/>
          <w:vertAlign w:val="subscript"/>
          <w:lang w:val="en-US"/>
        </w:rPr>
        <w:t>1</w:t>
      </w:r>
      <w:r w:rsidRPr="00615A76">
        <w:rPr>
          <w:rFonts w:ascii="Times New Roman" w:hAnsi="Times New Roman" w:cs="Times New Roman"/>
          <w:color w:val="000000"/>
          <w:sz w:val="24"/>
          <w:lang w:val="en-US"/>
        </w:rPr>
        <w:t xml:space="preserve"> + </w:t>
      </w:r>
      <w:r w:rsidRPr="00615A76">
        <w:rPr>
          <w:rFonts w:ascii="Times New Roman" w:hAnsi="Times New Roman" w:cs="Times New Roman"/>
          <w:i/>
          <w:iCs/>
          <w:color w:val="000000"/>
          <w:sz w:val="24"/>
          <w:lang w:val="en-US"/>
        </w:rPr>
        <w:t>NPV</w:t>
      </w:r>
      <w:r w:rsidRPr="00615A76">
        <w:rPr>
          <w:rFonts w:ascii="Times New Roman" w:hAnsi="Times New Roman" w:cs="Times New Roman"/>
          <w:color w:val="000000"/>
          <w:sz w:val="24"/>
          <w:lang w:val="en-US"/>
        </w:rPr>
        <w:t>(</w:t>
      </w:r>
      <w:r w:rsidRPr="00615A76">
        <w:rPr>
          <w:rFonts w:ascii="Times New Roman" w:hAnsi="Times New Roman" w:cs="Times New Roman"/>
          <w:i/>
          <w:iCs/>
          <w:color w:val="000000"/>
          <w:sz w:val="24"/>
          <w:lang w:val="en-US"/>
        </w:rPr>
        <w:t>i</w:t>
      </w:r>
      <w:r w:rsidRPr="00615A76">
        <w:rPr>
          <w:rFonts w:ascii="Times New Roman" w:hAnsi="Times New Roman" w:cs="Times New Roman"/>
          <w:color w:val="000000"/>
          <w:sz w:val="24"/>
          <w:vertAlign w:val="subscript"/>
          <w:lang w:val="en-US"/>
        </w:rPr>
        <w:t>1</w:t>
      </w:r>
      <w:r w:rsidRPr="00615A76">
        <w:rPr>
          <w:rFonts w:ascii="Times New Roman" w:hAnsi="Times New Roman" w:cs="Times New Roman"/>
          <w:color w:val="000000"/>
          <w:sz w:val="24"/>
          <w:lang w:val="en-US"/>
        </w:rPr>
        <w:t>) / [</w:t>
      </w:r>
      <w:r w:rsidRPr="00615A76">
        <w:rPr>
          <w:rFonts w:ascii="Times New Roman" w:hAnsi="Times New Roman" w:cs="Times New Roman"/>
          <w:i/>
          <w:iCs/>
          <w:color w:val="000000"/>
          <w:sz w:val="24"/>
          <w:lang w:val="en-US"/>
        </w:rPr>
        <w:t>NPV</w:t>
      </w:r>
      <w:r w:rsidRPr="00615A76">
        <w:rPr>
          <w:rFonts w:ascii="Times New Roman" w:hAnsi="Times New Roman" w:cs="Times New Roman"/>
          <w:color w:val="000000"/>
          <w:sz w:val="24"/>
          <w:lang w:val="en-US"/>
        </w:rPr>
        <w:t>(</w:t>
      </w:r>
      <w:r w:rsidRPr="00615A76">
        <w:rPr>
          <w:rFonts w:ascii="Times New Roman" w:hAnsi="Times New Roman" w:cs="Times New Roman"/>
          <w:i/>
          <w:iCs/>
          <w:color w:val="000000"/>
          <w:sz w:val="24"/>
          <w:lang w:val="en-US"/>
        </w:rPr>
        <w:t>i</w:t>
      </w:r>
      <w:r w:rsidRPr="00615A76">
        <w:rPr>
          <w:rFonts w:ascii="Times New Roman" w:hAnsi="Times New Roman" w:cs="Times New Roman"/>
          <w:color w:val="000000"/>
          <w:sz w:val="24"/>
          <w:vertAlign w:val="subscript"/>
          <w:lang w:val="en-US"/>
        </w:rPr>
        <w:t>1</w:t>
      </w:r>
      <w:r w:rsidRPr="00615A76">
        <w:rPr>
          <w:rFonts w:ascii="Times New Roman" w:hAnsi="Times New Roman" w:cs="Times New Roman"/>
          <w:color w:val="000000"/>
          <w:sz w:val="24"/>
          <w:lang w:val="en-US"/>
        </w:rPr>
        <w:t xml:space="preserve">) - </w:t>
      </w:r>
      <w:r w:rsidRPr="00615A76">
        <w:rPr>
          <w:rFonts w:ascii="Times New Roman" w:hAnsi="Times New Roman" w:cs="Times New Roman"/>
          <w:i/>
          <w:iCs/>
          <w:color w:val="000000"/>
          <w:sz w:val="24"/>
          <w:lang w:val="en-US"/>
        </w:rPr>
        <w:t>NPV</w:t>
      </w:r>
      <w:r w:rsidRPr="00615A76">
        <w:rPr>
          <w:rFonts w:ascii="Times New Roman" w:hAnsi="Times New Roman" w:cs="Times New Roman"/>
          <w:color w:val="000000"/>
          <w:sz w:val="24"/>
          <w:lang w:val="en-US"/>
        </w:rPr>
        <w:t>(</w:t>
      </w:r>
      <w:r w:rsidRPr="00615A76">
        <w:rPr>
          <w:rFonts w:ascii="Times New Roman" w:hAnsi="Times New Roman" w:cs="Times New Roman"/>
          <w:i/>
          <w:iCs/>
          <w:color w:val="000000"/>
          <w:sz w:val="24"/>
          <w:lang w:val="en-US"/>
        </w:rPr>
        <w:t>i</w:t>
      </w:r>
      <w:r w:rsidRPr="00615A76">
        <w:rPr>
          <w:rFonts w:ascii="Times New Roman" w:hAnsi="Times New Roman" w:cs="Times New Roman"/>
          <w:color w:val="000000"/>
          <w:sz w:val="24"/>
          <w:vertAlign w:val="subscript"/>
          <w:lang w:val="en-US"/>
        </w:rPr>
        <w:t>2</w:t>
      </w:r>
      <w:r w:rsidRPr="00615A76">
        <w:rPr>
          <w:rFonts w:ascii="Times New Roman" w:hAnsi="Times New Roman" w:cs="Times New Roman"/>
          <w:color w:val="000000"/>
          <w:sz w:val="24"/>
          <w:lang w:val="en-US"/>
        </w:rPr>
        <w:t>)] • (</w:t>
      </w:r>
      <w:r w:rsidRPr="00615A76">
        <w:rPr>
          <w:rFonts w:ascii="Times New Roman" w:hAnsi="Times New Roman" w:cs="Times New Roman"/>
          <w:i/>
          <w:iCs/>
          <w:color w:val="000000"/>
          <w:sz w:val="24"/>
          <w:lang w:val="en-US"/>
        </w:rPr>
        <w:t>i</w:t>
      </w:r>
      <w:r w:rsidRPr="00615A76">
        <w:rPr>
          <w:rFonts w:ascii="Times New Roman" w:hAnsi="Times New Roman" w:cs="Times New Roman"/>
          <w:color w:val="000000"/>
          <w:sz w:val="24"/>
          <w:vertAlign w:val="subscript"/>
          <w:lang w:val="en-US"/>
        </w:rPr>
        <w:t>2</w:t>
      </w:r>
      <w:r w:rsidRPr="00615A76">
        <w:rPr>
          <w:rFonts w:ascii="Times New Roman" w:hAnsi="Times New Roman" w:cs="Times New Roman"/>
          <w:color w:val="000000"/>
          <w:sz w:val="24"/>
          <w:lang w:val="en-US"/>
        </w:rPr>
        <w:t xml:space="preserve"> - </w:t>
      </w:r>
      <w:r w:rsidRPr="00615A76">
        <w:rPr>
          <w:rFonts w:ascii="Times New Roman" w:hAnsi="Times New Roman" w:cs="Times New Roman"/>
          <w:i/>
          <w:iCs/>
          <w:color w:val="000000"/>
          <w:sz w:val="24"/>
          <w:lang w:val="en-US"/>
        </w:rPr>
        <w:t>i</w:t>
      </w:r>
      <w:r w:rsidRPr="00615A76">
        <w:rPr>
          <w:rFonts w:ascii="Times New Roman" w:hAnsi="Times New Roman" w:cs="Times New Roman"/>
          <w:color w:val="000000"/>
          <w:sz w:val="24"/>
          <w:vertAlign w:val="subscript"/>
          <w:lang w:val="en-US"/>
        </w:rPr>
        <w:t>1</w:t>
      </w:r>
      <w:r w:rsidRPr="00615A76">
        <w:rPr>
          <w:rFonts w:ascii="Times New Roman" w:hAnsi="Times New Roman" w:cs="Times New Roman"/>
          <w:color w:val="000000"/>
          <w:sz w:val="24"/>
          <w:lang w:val="en-US"/>
        </w:rPr>
        <w:t>)</w:t>
      </w:r>
    </w:p>
    <w:p w:rsidR="00114460" w:rsidRPr="00615A76" w:rsidRDefault="00114460" w:rsidP="00114460">
      <w:pPr>
        <w:spacing w:after="0" w:line="240" w:lineRule="auto"/>
        <w:ind w:firstLine="709"/>
        <w:rPr>
          <w:rFonts w:ascii="Times New Roman" w:hAnsi="Times New Roman" w:cs="Times New Roman"/>
          <w:color w:val="000000"/>
          <w:sz w:val="24"/>
          <w:lang w:val="en-US"/>
        </w:rPr>
      </w:pPr>
    </w:p>
    <w:p w:rsidR="00114460" w:rsidRPr="00615A76" w:rsidRDefault="00114460" w:rsidP="00114460">
      <w:pPr>
        <w:spacing w:after="0" w:line="240" w:lineRule="auto"/>
        <w:ind w:firstLine="709"/>
        <w:jc w:val="both"/>
        <w:rPr>
          <w:rFonts w:ascii="Times New Roman" w:hAnsi="Times New Roman" w:cs="Times New Roman"/>
          <w:color w:val="000000"/>
          <w:sz w:val="24"/>
        </w:rPr>
      </w:pPr>
      <w:r w:rsidRPr="00615A76">
        <w:rPr>
          <w:rFonts w:ascii="Times New Roman" w:hAnsi="Times New Roman" w:cs="Times New Roman"/>
          <w:color w:val="000000"/>
          <w:sz w:val="24"/>
        </w:rPr>
        <w:t xml:space="preserve">Инвестор сравнивает полученное значение </w:t>
      </w:r>
      <w:r w:rsidRPr="00615A76">
        <w:rPr>
          <w:rFonts w:ascii="Times New Roman" w:hAnsi="Times New Roman" w:cs="Times New Roman"/>
          <w:i/>
          <w:iCs/>
          <w:color w:val="000000"/>
          <w:sz w:val="24"/>
        </w:rPr>
        <w:t>IRR</w:t>
      </w:r>
      <w:r w:rsidRPr="00615A76">
        <w:rPr>
          <w:rFonts w:ascii="Times New Roman" w:hAnsi="Times New Roman" w:cs="Times New Roman"/>
          <w:color w:val="000000"/>
          <w:sz w:val="24"/>
        </w:rPr>
        <w:t xml:space="preserve"> со ставкой привлеченных финансовых ресурсов (</w:t>
      </w:r>
      <w:r w:rsidRPr="00615A76">
        <w:rPr>
          <w:rFonts w:ascii="Times New Roman" w:hAnsi="Times New Roman" w:cs="Times New Roman"/>
          <w:i/>
          <w:iCs/>
          <w:color w:val="000000"/>
          <w:sz w:val="24"/>
        </w:rPr>
        <w:t>CC</w:t>
      </w:r>
      <w:r w:rsidRPr="00615A76">
        <w:rPr>
          <w:rFonts w:ascii="Times New Roman" w:hAnsi="Times New Roman" w:cs="Times New Roman"/>
          <w:color w:val="000000"/>
          <w:sz w:val="24"/>
        </w:rPr>
        <w:t xml:space="preserve"> – </w:t>
      </w:r>
      <w:proofErr w:type="spellStart"/>
      <w:r w:rsidRPr="00615A76">
        <w:rPr>
          <w:rFonts w:ascii="Times New Roman" w:hAnsi="Times New Roman" w:cs="Times New Roman"/>
          <w:color w:val="000000"/>
          <w:sz w:val="24"/>
        </w:rPr>
        <w:t>Cost</w:t>
      </w:r>
      <w:proofErr w:type="spellEnd"/>
      <w:r w:rsidRPr="00615A76">
        <w:rPr>
          <w:rFonts w:ascii="Times New Roman" w:hAnsi="Times New Roman" w:cs="Times New Roman"/>
          <w:color w:val="000000"/>
          <w:sz w:val="24"/>
        </w:rPr>
        <w:t xml:space="preserve"> </w:t>
      </w:r>
      <w:proofErr w:type="spellStart"/>
      <w:r w:rsidRPr="00615A76">
        <w:rPr>
          <w:rFonts w:ascii="Times New Roman" w:hAnsi="Times New Roman" w:cs="Times New Roman"/>
          <w:color w:val="000000"/>
          <w:sz w:val="24"/>
        </w:rPr>
        <w:t>of</w:t>
      </w:r>
      <w:proofErr w:type="spellEnd"/>
      <w:r w:rsidRPr="00615A76">
        <w:rPr>
          <w:rFonts w:ascii="Times New Roman" w:hAnsi="Times New Roman" w:cs="Times New Roman"/>
          <w:color w:val="000000"/>
          <w:sz w:val="24"/>
        </w:rPr>
        <w:t xml:space="preserve"> </w:t>
      </w:r>
      <w:proofErr w:type="spellStart"/>
      <w:r w:rsidRPr="00615A76">
        <w:rPr>
          <w:rFonts w:ascii="Times New Roman" w:hAnsi="Times New Roman" w:cs="Times New Roman"/>
          <w:color w:val="000000"/>
          <w:sz w:val="24"/>
        </w:rPr>
        <w:t>Capital</w:t>
      </w:r>
      <w:proofErr w:type="spellEnd"/>
      <w:r w:rsidRPr="00615A76">
        <w:rPr>
          <w:rFonts w:ascii="Times New Roman" w:hAnsi="Times New Roman" w:cs="Times New Roman"/>
          <w:color w:val="000000"/>
          <w:sz w:val="24"/>
        </w:rPr>
        <w:t>):</w:t>
      </w:r>
    </w:p>
    <w:p w:rsidR="00114460" w:rsidRPr="00615A76" w:rsidRDefault="00114460" w:rsidP="00114460">
      <w:pPr>
        <w:numPr>
          <w:ilvl w:val="0"/>
          <w:numId w:val="13"/>
        </w:numPr>
        <w:spacing w:after="0" w:line="240" w:lineRule="auto"/>
        <w:ind w:left="0" w:firstLine="709"/>
        <w:rPr>
          <w:rFonts w:ascii="Times New Roman" w:hAnsi="Times New Roman" w:cs="Times New Roman"/>
          <w:color w:val="000000"/>
          <w:sz w:val="24"/>
        </w:rPr>
      </w:pPr>
      <w:r w:rsidRPr="00615A76">
        <w:rPr>
          <w:rFonts w:ascii="Times New Roman" w:hAnsi="Times New Roman" w:cs="Times New Roman"/>
          <w:color w:val="000000"/>
          <w:sz w:val="24"/>
        </w:rPr>
        <w:t xml:space="preserve">если </w:t>
      </w:r>
      <w:proofErr w:type="gramStart"/>
      <w:r w:rsidRPr="00615A76">
        <w:rPr>
          <w:rFonts w:ascii="Times New Roman" w:hAnsi="Times New Roman" w:cs="Times New Roman"/>
          <w:i/>
          <w:iCs/>
          <w:color w:val="000000"/>
          <w:sz w:val="24"/>
        </w:rPr>
        <w:t>IRR &gt;</w:t>
      </w:r>
      <w:proofErr w:type="gramEnd"/>
      <w:r w:rsidRPr="00615A76">
        <w:rPr>
          <w:rFonts w:ascii="Times New Roman" w:hAnsi="Times New Roman" w:cs="Times New Roman"/>
          <w:i/>
          <w:iCs/>
          <w:color w:val="000000"/>
          <w:sz w:val="24"/>
        </w:rPr>
        <w:t xml:space="preserve"> CC</w:t>
      </w:r>
      <w:r w:rsidRPr="00615A76">
        <w:rPr>
          <w:rFonts w:ascii="Times New Roman" w:hAnsi="Times New Roman" w:cs="Times New Roman"/>
          <w:color w:val="000000"/>
          <w:sz w:val="24"/>
        </w:rPr>
        <w:t xml:space="preserve">, то проект можно принять; </w:t>
      </w:r>
    </w:p>
    <w:p w:rsidR="00114460" w:rsidRPr="00615A76" w:rsidRDefault="00114460" w:rsidP="00114460">
      <w:pPr>
        <w:numPr>
          <w:ilvl w:val="0"/>
          <w:numId w:val="13"/>
        </w:numPr>
        <w:spacing w:after="0" w:line="240" w:lineRule="auto"/>
        <w:ind w:left="0" w:firstLine="709"/>
        <w:rPr>
          <w:rFonts w:ascii="Times New Roman" w:hAnsi="Times New Roman" w:cs="Times New Roman"/>
          <w:color w:val="000000"/>
          <w:sz w:val="24"/>
        </w:rPr>
      </w:pPr>
      <w:r w:rsidRPr="00615A76">
        <w:rPr>
          <w:rFonts w:ascii="Times New Roman" w:hAnsi="Times New Roman" w:cs="Times New Roman"/>
          <w:color w:val="000000"/>
          <w:sz w:val="24"/>
        </w:rPr>
        <w:t xml:space="preserve">если </w:t>
      </w:r>
      <w:r w:rsidRPr="00615A76">
        <w:rPr>
          <w:rFonts w:ascii="Times New Roman" w:hAnsi="Times New Roman" w:cs="Times New Roman"/>
          <w:i/>
          <w:iCs/>
          <w:color w:val="000000"/>
          <w:sz w:val="24"/>
        </w:rPr>
        <w:t xml:space="preserve">IRR </w:t>
      </w:r>
      <w:proofErr w:type="gramStart"/>
      <w:r w:rsidRPr="00615A76">
        <w:rPr>
          <w:rFonts w:ascii="Times New Roman" w:hAnsi="Times New Roman" w:cs="Times New Roman"/>
          <w:i/>
          <w:iCs/>
          <w:color w:val="000000"/>
          <w:sz w:val="24"/>
        </w:rPr>
        <w:t>&lt; СС</w:t>
      </w:r>
      <w:proofErr w:type="gramEnd"/>
      <w:r w:rsidRPr="00615A76">
        <w:rPr>
          <w:rFonts w:ascii="Times New Roman" w:hAnsi="Times New Roman" w:cs="Times New Roman"/>
          <w:color w:val="000000"/>
          <w:sz w:val="24"/>
        </w:rPr>
        <w:t xml:space="preserve">, проект отвергается; </w:t>
      </w:r>
    </w:p>
    <w:p w:rsidR="00114460" w:rsidRPr="00615A76" w:rsidRDefault="00114460" w:rsidP="00114460">
      <w:pPr>
        <w:numPr>
          <w:ilvl w:val="0"/>
          <w:numId w:val="13"/>
        </w:numPr>
        <w:spacing w:after="0" w:line="240" w:lineRule="auto"/>
        <w:ind w:left="0" w:firstLine="709"/>
        <w:rPr>
          <w:rFonts w:ascii="Times New Roman" w:hAnsi="Times New Roman" w:cs="Times New Roman"/>
          <w:color w:val="000000"/>
          <w:sz w:val="24"/>
        </w:rPr>
      </w:pPr>
      <w:r w:rsidRPr="00615A76">
        <w:rPr>
          <w:rFonts w:ascii="Times New Roman" w:hAnsi="Times New Roman" w:cs="Times New Roman"/>
          <w:i/>
          <w:iCs/>
          <w:color w:val="000000"/>
          <w:sz w:val="24"/>
        </w:rPr>
        <w:t>IRR = СС</w:t>
      </w:r>
      <w:r w:rsidRPr="00615A76">
        <w:rPr>
          <w:rFonts w:ascii="Times New Roman" w:hAnsi="Times New Roman" w:cs="Times New Roman"/>
          <w:color w:val="000000"/>
          <w:sz w:val="24"/>
        </w:rPr>
        <w:t xml:space="preserve"> проект имеет нулевую прибыль. </w:t>
      </w:r>
    </w:p>
    <w:p w:rsidR="00114460" w:rsidRPr="00615A76" w:rsidRDefault="00114460" w:rsidP="00114460">
      <w:pPr>
        <w:spacing w:after="0" w:line="240" w:lineRule="auto"/>
        <w:jc w:val="both"/>
        <w:rPr>
          <w:rFonts w:ascii="Times New Roman" w:hAnsi="Times New Roman" w:cs="Times New Roman"/>
        </w:rPr>
      </w:pPr>
      <w:r w:rsidRPr="00615A76">
        <w:rPr>
          <w:rFonts w:ascii="Times New Roman" w:hAnsi="Times New Roman" w:cs="Times New Roman"/>
        </w:rPr>
        <w:t>Если весть проект осуществляется только за счет заемных средств, то показатель равен проценту, под который можно взять заем, чтобы суметь расплатиться из доходов от реализации проекта. Если внутренняя норма доходности проекта больше стоимости инвестиций, то проект прибыльный.</w:t>
      </w:r>
    </w:p>
    <w:p w:rsidR="00114460" w:rsidRPr="00E15289" w:rsidRDefault="00114460" w:rsidP="00114460">
      <w:pPr>
        <w:spacing w:after="0" w:line="240" w:lineRule="auto"/>
        <w:jc w:val="both"/>
        <w:rPr>
          <w:rFonts w:ascii="Times New Roman" w:hAnsi="Times New Roman" w:cs="Times New Roman"/>
        </w:rPr>
      </w:pPr>
    </w:p>
    <w:p w:rsidR="00114460" w:rsidRPr="00244458" w:rsidRDefault="00114460" w:rsidP="00114460">
      <w:pPr>
        <w:spacing w:after="0" w:line="240" w:lineRule="auto"/>
        <w:ind w:firstLine="360"/>
        <w:jc w:val="both"/>
        <w:rPr>
          <w:rFonts w:ascii="Times New Roman" w:hAnsi="Times New Roman" w:cs="Times New Roman"/>
          <w:color w:val="000000"/>
          <w:sz w:val="24"/>
          <w:szCs w:val="24"/>
        </w:rPr>
      </w:pPr>
      <w:r w:rsidRPr="00244458">
        <w:rPr>
          <w:rFonts w:ascii="Times New Roman" w:hAnsi="Times New Roman" w:cs="Times New Roman"/>
          <w:b/>
          <w:sz w:val="24"/>
          <w:szCs w:val="24"/>
        </w:rPr>
        <w:t>Срок окупаемости проекта</w:t>
      </w:r>
      <w:r>
        <w:rPr>
          <w:rFonts w:ascii="Times New Roman" w:hAnsi="Times New Roman" w:cs="Times New Roman"/>
          <w:sz w:val="24"/>
          <w:szCs w:val="24"/>
        </w:rPr>
        <w:t>.</w:t>
      </w:r>
      <w:r w:rsidRPr="00244458">
        <w:rPr>
          <w:rFonts w:ascii="Times New Roman" w:hAnsi="Times New Roman" w:cs="Times New Roman"/>
          <w:sz w:val="24"/>
          <w:szCs w:val="24"/>
        </w:rPr>
        <w:t xml:space="preserve"> </w:t>
      </w:r>
      <w:r>
        <w:rPr>
          <w:rFonts w:ascii="Times New Roman" w:hAnsi="Times New Roman" w:cs="Times New Roman"/>
          <w:color w:val="000000"/>
          <w:sz w:val="24"/>
          <w:szCs w:val="24"/>
        </w:rPr>
        <w:t>Д</w:t>
      </w:r>
      <w:r w:rsidRPr="00244458">
        <w:rPr>
          <w:rFonts w:ascii="Times New Roman" w:hAnsi="Times New Roman" w:cs="Times New Roman"/>
          <w:color w:val="000000"/>
          <w:sz w:val="24"/>
          <w:szCs w:val="24"/>
        </w:rPr>
        <w:t xml:space="preserve">ля анализа инвестиций применяют и такой показатель, как </w:t>
      </w:r>
      <w:r w:rsidRPr="00244458">
        <w:rPr>
          <w:rFonts w:ascii="Times New Roman" w:hAnsi="Times New Roman" w:cs="Times New Roman"/>
          <w:b/>
          <w:bCs/>
          <w:color w:val="000000"/>
          <w:sz w:val="24"/>
          <w:szCs w:val="24"/>
        </w:rPr>
        <w:t>срок окупаемости</w:t>
      </w:r>
      <w:r>
        <w:rPr>
          <w:rFonts w:ascii="Times New Roman" w:hAnsi="Times New Roman" w:cs="Times New Roman"/>
          <w:b/>
          <w:bCs/>
          <w:color w:val="000000"/>
          <w:sz w:val="24"/>
          <w:szCs w:val="24"/>
        </w:rPr>
        <w:t xml:space="preserve"> </w:t>
      </w:r>
      <w:r w:rsidRPr="00244458">
        <w:rPr>
          <w:rFonts w:ascii="Times New Roman" w:hAnsi="Times New Roman" w:cs="Times New Roman"/>
          <w:color w:val="000000"/>
          <w:sz w:val="24"/>
          <w:szCs w:val="24"/>
        </w:rPr>
        <w:t>– продолжительность времени, в течение которого дисконтированные на момент завершения инвестиций прогнозируемые денежные поступления равны сумме инвестиций. Иными словами – это сумма лет, необходимых для возмещения стартовых инвестиций:</w:t>
      </w:r>
    </w:p>
    <w:tbl>
      <w:tblPr>
        <w:tblW w:w="15" w:type="dxa"/>
        <w:jc w:val="center"/>
        <w:tblCellSpacing w:w="15" w:type="dxa"/>
        <w:tblCellMar>
          <w:top w:w="15" w:type="dxa"/>
          <w:left w:w="15" w:type="dxa"/>
          <w:bottom w:w="15" w:type="dxa"/>
          <w:right w:w="15" w:type="dxa"/>
        </w:tblCellMar>
        <w:tblLook w:val="04A0" w:firstRow="1" w:lastRow="0" w:firstColumn="1" w:lastColumn="0" w:noHBand="0" w:noVBand="1"/>
      </w:tblPr>
      <w:tblGrid>
        <w:gridCol w:w="3420"/>
      </w:tblGrid>
      <w:tr w:rsidR="00114460" w:rsidRPr="00244458" w:rsidTr="00A16A4D">
        <w:trPr>
          <w:tblCellSpacing w:w="15" w:type="dxa"/>
          <w:jc w:val="center"/>
        </w:trPr>
        <w:tc>
          <w:tcPr>
            <w:tcW w:w="0" w:type="auto"/>
            <w:vAlign w:val="center"/>
          </w:tcPr>
          <w:p w:rsidR="00114460" w:rsidRPr="00244458" w:rsidRDefault="00114460" w:rsidP="00A16A4D">
            <w:pPr>
              <w:spacing w:after="0" w:line="240" w:lineRule="auto"/>
              <w:jc w:val="center"/>
              <w:rPr>
                <w:rFonts w:ascii="Times New Roman" w:hAnsi="Times New Roman" w:cs="Times New Roman"/>
                <w:color w:val="000000"/>
                <w:sz w:val="24"/>
                <w:szCs w:val="24"/>
              </w:rPr>
            </w:pPr>
            <w:r w:rsidRPr="00244458">
              <w:rPr>
                <w:rFonts w:ascii="Times New Roman" w:hAnsi="Times New Roman" w:cs="Times New Roman"/>
                <w:noProof/>
                <w:color w:val="000000"/>
                <w:sz w:val="24"/>
                <w:szCs w:val="24"/>
                <w:lang w:eastAsia="ru-RU"/>
              </w:rPr>
              <w:drawing>
                <wp:inline distT="0" distB="0" distL="0" distR="0" wp14:anchorId="05E2BFE2" wp14:editId="66E7E417">
                  <wp:extent cx="2085975" cy="571500"/>
                  <wp:effectExtent l="19050" t="0" r="9525" b="0"/>
                  <wp:docPr id="7" name="Рисунок 14" descr="T:\31.01.2007\Учебники_РЦБ_инвестиции\Финансы и ФМ\Финансовая математика\Фин_математика Коптева и Семёнов\8_2_2_ Срок окупаемости.files\f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T:\31.01.2007\Учебники_РЦБ_инвестиции\Финансы и ФМ\Финансовая математика\Фин_математика Коптева и Семёнов\8_2_2_ Срок окупаемости.files\f48.gif"/>
                          <pic:cNvPicPr>
                            <a:picLocks noChangeAspect="1" noChangeArrowheads="1"/>
                          </pic:cNvPicPr>
                        </pic:nvPicPr>
                        <pic:blipFill>
                          <a:blip r:embed="rId16"/>
                          <a:srcRect/>
                          <a:stretch>
                            <a:fillRect/>
                          </a:stretch>
                        </pic:blipFill>
                        <pic:spPr bwMode="auto">
                          <a:xfrm>
                            <a:off x="0" y="0"/>
                            <a:ext cx="2085975" cy="571500"/>
                          </a:xfrm>
                          <a:prstGeom prst="rect">
                            <a:avLst/>
                          </a:prstGeom>
                          <a:noFill/>
                          <a:ln w="9525">
                            <a:noFill/>
                            <a:miter lim="800000"/>
                            <a:headEnd/>
                            <a:tailEnd/>
                          </a:ln>
                        </pic:spPr>
                      </pic:pic>
                    </a:graphicData>
                  </a:graphic>
                </wp:inline>
              </w:drawing>
            </w:r>
          </w:p>
        </w:tc>
      </w:tr>
      <w:tr w:rsidR="00114460" w:rsidRPr="00244458" w:rsidTr="00A16A4D">
        <w:trPr>
          <w:tblCellSpacing w:w="15" w:type="dxa"/>
          <w:jc w:val="center"/>
        </w:trPr>
        <w:tc>
          <w:tcPr>
            <w:tcW w:w="0" w:type="auto"/>
            <w:vAlign w:val="center"/>
          </w:tcPr>
          <w:p w:rsidR="00114460" w:rsidRPr="00244458" w:rsidRDefault="00114460" w:rsidP="00A16A4D">
            <w:pPr>
              <w:spacing w:after="0" w:line="240" w:lineRule="auto"/>
              <w:jc w:val="center"/>
              <w:rPr>
                <w:rFonts w:ascii="Times New Roman" w:hAnsi="Times New Roman" w:cs="Times New Roman"/>
                <w:color w:val="000000"/>
                <w:sz w:val="24"/>
                <w:szCs w:val="24"/>
              </w:rPr>
            </w:pPr>
          </w:p>
        </w:tc>
      </w:tr>
    </w:tbl>
    <w:p w:rsidR="00114460" w:rsidRPr="00244458" w:rsidRDefault="00114460" w:rsidP="00114460">
      <w:pPr>
        <w:spacing w:after="0" w:line="240" w:lineRule="auto"/>
        <w:ind w:firstLine="360"/>
        <w:jc w:val="both"/>
        <w:rPr>
          <w:rFonts w:ascii="Times New Roman" w:hAnsi="Times New Roman" w:cs="Times New Roman"/>
          <w:b/>
          <w:color w:val="000000"/>
          <w:sz w:val="24"/>
          <w:szCs w:val="24"/>
        </w:rPr>
      </w:pPr>
      <w:r w:rsidRPr="00244458">
        <w:rPr>
          <w:rFonts w:ascii="Times New Roman" w:hAnsi="Times New Roman" w:cs="Times New Roman"/>
          <w:b/>
          <w:color w:val="000000"/>
          <w:sz w:val="24"/>
          <w:szCs w:val="24"/>
        </w:rPr>
        <w:t xml:space="preserve">т.е. </w:t>
      </w:r>
      <w:r w:rsidRPr="00244458">
        <w:rPr>
          <w:rFonts w:ascii="Times New Roman" w:hAnsi="Times New Roman" w:cs="Times New Roman"/>
          <w:b/>
          <w:i/>
          <w:iCs/>
          <w:color w:val="000000"/>
          <w:sz w:val="24"/>
          <w:szCs w:val="24"/>
        </w:rPr>
        <w:t>NPV</w:t>
      </w:r>
      <w:r w:rsidRPr="00244458">
        <w:rPr>
          <w:rFonts w:ascii="Times New Roman" w:hAnsi="Times New Roman" w:cs="Times New Roman"/>
          <w:b/>
          <w:color w:val="000000"/>
          <w:sz w:val="24"/>
          <w:szCs w:val="24"/>
        </w:rPr>
        <w:t xml:space="preserve"> = 0.</w:t>
      </w:r>
    </w:p>
    <w:p w:rsidR="00114460" w:rsidRPr="00244458" w:rsidRDefault="00114460" w:rsidP="00114460">
      <w:pPr>
        <w:spacing w:after="0" w:line="240" w:lineRule="auto"/>
        <w:ind w:firstLine="357"/>
        <w:jc w:val="both"/>
        <w:rPr>
          <w:rFonts w:ascii="Times New Roman" w:hAnsi="Times New Roman" w:cs="Times New Roman"/>
          <w:color w:val="000000"/>
          <w:sz w:val="24"/>
        </w:rPr>
      </w:pPr>
      <w:r w:rsidRPr="00244458">
        <w:rPr>
          <w:rFonts w:ascii="Times New Roman" w:hAnsi="Times New Roman" w:cs="Times New Roman"/>
          <w:color w:val="000000"/>
          <w:sz w:val="24"/>
        </w:rPr>
        <w:t xml:space="preserve">где </w:t>
      </w:r>
      <w:proofErr w:type="spellStart"/>
      <w:r w:rsidRPr="00244458">
        <w:rPr>
          <w:rFonts w:ascii="Times New Roman" w:hAnsi="Times New Roman" w:cs="Times New Roman"/>
          <w:i/>
          <w:iCs/>
          <w:color w:val="000000"/>
          <w:sz w:val="24"/>
        </w:rPr>
        <w:t>R</w:t>
      </w:r>
      <w:r w:rsidRPr="00244458">
        <w:rPr>
          <w:rFonts w:ascii="Times New Roman" w:hAnsi="Times New Roman" w:cs="Times New Roman"/>
          <w:i/>
          <w:iCs/>
          <w:color w:val="000000"/>
          <w:sz w:val="24"/>
          <w:vertAlign w:val="subscript"/>
        </w:rPr>
        <w:t>k</w:t>
      </w:r>
      <w:proofErr w:type="spellEnd"/>
      <w:r w:rsidRPr="00244458">
        <w:rPr>
          <w:rFonts w:ascii="Times New Roman" w:hAnsi="Times New Roman" w:cs="Times New Roman"/>
          <w:color w:val="000000"/>
          <w:sz w:val="24"/>
        </w:rPr>
        <w:t xml:space="preserve"> – годовые денежные поступления в течение </w:t>
      </w:r>
      <w:r w:rsidRPr="00244458">
        <w:rPr>
          <w:rFonts w:ascii="Times New Roman" w:hAnsi="Times New Roman" w:cs="Times New Roman"/>
          <w:i/>
          <w:iCs/>
          <w:color w:val="000000"/>
          <w:sz w:val="24"/>
        </w:rPr>
        <w:t>n</w:t>
      </w:r>
      <w:r w:rsidRPr="00244458">
        <w:rPr>
          <w:rFonts w:ascii="Times New Roman" w:hAnsi="Times New Roman" w:cs="Times New Roman"/>
          <w:color w:val="000000"/>
          <w:sz w:val="24"/>
        </w:rPr>
        <w:t xml:space="preserve"> лет, </w:t>
      </w:r>
      <w:r w:rsidRPr="00244458">
        <w:rPr>
          <w:rFonts w:ascii="Times New Roman" w:hAnsi="Times New Roman" w:cs="Times New Roman"/>
          <w:i/>
          <w:iCs/>
          <w:color w:val="000000"/>
          <w:sz w:val="24"/>
        </w:rPr>
        <w:t>k</w:t>
      </w:r>
      <w:r w:rsidRPr="00244458">
        <w:rPr>
          <w:rFonts w:ascii="Times New Roman" w:hAnsi="Times New Roman" w:cs="Times New Roman"/>
          <w:color w:val="000000"/>
          <w:sz w:val="24"/>
        </w:rPr>
        <w:t xml:space="preserve"> = 1, 2, …, </w:t>
      </w:r>
      <w:r w:rsidRPr="00244458">
        <w:rPr>
          <w:rFonts w:ascii="Times New Roman" w:hAnsi="Times New Roman" w:cs="Times New Roman"/>
          <w:i/>
          <w:iCs/>
          <w:color w:val="000000"/>
          <w:sz w:val="24"/>
        </w:rPr>
        <w:t>n</w:t>
      </w:r>
      <w:r w:rsidRPr="00244458">
        <w:rPr>
          <w:rFonts w:ascii="Times New Roman" w:hAnsi="Times New Roman" w:cs="Times New Roman"/>
          <w:color w:val="000000"/>
          <w:sz w:val="24"/>
        </w:rPr>
        <w:t>;</w:t>
      </w:r>
    </w:p>
    <w:p w:rsidR="00114460" w:rsidRPr="00244458" w:rsidRDefault="00114460" w:rsidP="00114460">
      <w:pPr>
        <w:spacing w:after="0" w:line="240" w:lineRule="auto"/>
        <w:ind w:firstLine="357"/>
        <w:jc w:val="both"/>
        <w:rPr>
          <w:rFonts w:ascii="Times New Roman" w:hAnsi="Times New Roman" w:cs="Times New Roman"/>
          <w:color w:val="000000"/>
          <w:sz w:val="24"/>
        </w:rPr>
      </w:pPr>
      <w:r w:rsidRPr="00244458">
        <w:rPr>
          <w:rFonts w:ascii="Times New Roman" w:hAnsi="Times New Roman" w:cs="Times New Roman"/>
          <w:i/>
          <w:iCs/>
          <w:color w:val="000000"/>
          <w:sz w:val="24"/>
        </w:rPr>
        <w:t>IC</w:t>
      </w:r>
      <w:r w:rsidRPr="00244458">
        <w:rPr>
          <w:rFonts w:ascii="Times New Roman" w:hAnsi="Times New Roman" w:cs="Times New Roman"/>
          <w:color w:val="000000"/>
          <w:sz w:val="24"/>
        </w:rPr>
        <w:t> – стартовые инвестиции;</w:t>
      </w:r>
    </w:p>
    <w:p w:rsidR="00114460" w:rsidRPr="00244458" w:rsidRDefault="00114460" w:rsidP="00114460">
      <w:pPr>
        <w:spacing w:after="0" w:line="240" w:lineRule="auto"/>
        <w:ind w:firstLine="357"/>
        <w:jc w:val="both"/>
        <w:rPr>
          <w:rFonts w:ascii="Times New Roman" w:hAnsi="Times New Roman" w:cs="Times New Roman"/>
          <w:color w:val="000000"/>
          <w:sz w:val="24"/>
        </w:rPr>
      </w:pPr>
      <w:r w:rsidRPr="00244458">
        <w:rPr>
          <w:rFonts w:ascii="Times New Roman" w:hAnsi="Times New Roman" w:cs="Times New Roman"/>
          <w:i/>
          <w:iCs/>
          <w:color w:val="000000"/>
          <w:sz w:val="24"/>
        </w:rPr>
        <w:t>i</w:t>
      </w:r>
      <w:r w:rsidRPr="00244458">
        <w:rPr>
          <w:rFonts w:ascii="Times New Roman" w:hAnsi="Times New Roman" w:cs="Times New Roman"/>
          <w:color w:val="000000"/>
          <w:sz w:val="24"/>
        </w:rPr>
        <w:t> – ставка дисконтирования.</w:t>
      </w:r>
    </w:p>
    <w:p w:rsidR="00114460" w:rsidRDefault="00114460" w:rsidP="00114460">
      <w:pPr>
        <w:spacing w:after="0" w:line="240" w:lineRule="auto"/>
        <w:ind w:firstLine="360"/>
        <w:jc w:val="both"/>
        <w:rPr>
          <w:rFonts w:ascii="Times New Roman" w:hAnsi="Times New Roman" w:cs="Times New Roman"/>
          <w:color w:val="000000"/>
          <w:sz w:val="24"/>
          <w:szCs w:val="24"/>
        </w:rPr>
      </w:pPr>
    </w:p>
    <w:p w:rsidR="00114460" w:rsidRPr="00244458" w:rsidRDefault="00114460" w:rsidP="00114460">
      <w:pPr>
        <w:spacing w:after="0" w:line="240" w:lineRule="auto"/>
        <w:ind w:firstLine="360"/>
        <w:jc w:val="both"/>
        <w:rPr>
          <w:rFonts w:ascii="Times New Roman" w:hAnsi="Times New Roman" w:cs="Times New Roman"/>
          <w:color w:val="000000"/>
          <w:sz w:val="24"/>
          <w:szCs w:val="24"/>
        </w:rPr>
      </w:pPr>
      <w:r w:rsidRPr="00244458">
        <w:rPr>
          <w:rFonts w:ascii="Times New Roman" w:hAnsi="Times New Roman" w:cs="Times New Roman"/>
          <w:color w:val="000000"/>
          <w:sz w:val="24"/>
          <w:szCs w:val="24"/>
        </w:rPr>
        <w:t>Период окупаемости можно определить как ожидаемое число лет по упрощенной формуле:</w:t>
      </w:r>
    </w:p>
    <w:p w:rsidR="00114460" w:rsidRPr="00244458" w:rsidRDefault="00114460" w:rsidP="00114460">
      <w:pPr>
        <w:spacing w:after="0" w:line="240" w:lineRule="auto"/>
        <w:rPr>
          <w:rFonts w:ascii="Times New Roman" w:hAnsi="Times New Roman" w:cs="Times New Roman"/>
          <w:color w:val="000000"/>
          <w:sz w:val="24"/>
          <w:szCs w:val="24"/>
        </w:rPr>
      </w:pPr>
    </w:p>
    <w:p w:rsidR="00114460" w:rsidRPr="00244458" w:rsidRDefault="00114460" w:rsidP="00114460">
      <w:pPr>
        <w:spacing w:after="0" w:line="240" w:lineRule="auto"/>
        <w:jc w:val="center"/>
        <w:rPr>
          <w:rFonts w:ascii="Times New Roman" w:hAnsi="Times New Roman" w:cs="Times New Roman"/>
          <w:color w:val="000000"/>
          <w:sz w:val="24"/>
          <w:szCs w:val="24"/>
        </w:rPr>
      </w:pPr>
      <w:proofErr w:type="spellStart"/>
      <w:r w:rsidRPr="00244458">
        <w:rPr>
          <w:rFonts w:ascii="Times New Roman" w:hAnsi="Times New Roman" w:cs="Times New Roman"/>
          <w:b/>
          <w:bCs/>
          <w:i/>
          <w:iCs/>
          <w:color w:val="000000"/>
          <w:sz w:val="24"/>
          <w:szCs w:val="24"/>
        </w:rPr>
        <w:t>n</w:t>
      </w:r>
      <w:r w:rsidRPr="00244458">
        <w:rPr>
          <w:rFonts w:ascii="Times New Roman" w:hAnsi="Times New Roman" w:cs="Times New Roman"/>
          <w:b/>
          <w:bCs/>
          <w:i/>
          <w:iCs/>
          <w:color w:val="000000"/>
          <w:sz w:val="24"/>
          <w:szCs w:val="24"/>
          <w:vertAlign w:val="subscript"/>
        </w:rPr>
        <w:t>ок</w:t>
      </w:r>
      <w:proofErr w:type="spellEnd"/>
      <w:r w:rsidRPr="00244458">
        <w:rPr>
          <w:rFonts w:ascii="Times New Roman" w:hAnsi="Times New Roman" w:cs="Times New Roman"/>
          <w:b/>
          <w:bCs/>
          <w:color w:val="000000"/>
          <w:sz w:val="24"/>
          <w:szCs w:val="24"/>
        </w:rPr>
        <w:t xml:space="preserve"> = Число лет до года окупаемости + (Не возмещенная стоимость на начало года окупаемости / Приток наличности в течение года окупаемости)</w:t>
      </w:r>
    </w:p>
    <w:p w:rsidR="00114460" w:rsidRPr="00244458" w:rsidRDefault="00114460" w:rsidP="00114460">
      <w:pPr>
        <w:spacing w:after="0" w:line="240" w:lineRule="auto"/>
        <w:rPr>
          <w:rFonts w:ascii="Times New Roman" w:hAnsi="Times New Roman" w:cs="Times New Roman"/>
          <w:color w:val="000000"/>
          <w:sz w:val="24"/>
          <w:szCs w:val="24"/>
        </w:rPr>
      </w:pPr>
    </w:p>
    <w:p w:rsidR="00114460" w:rsidRPr="00244458" w:rsidRDefault="00114460" w:rsidP="00114460">
      <w:pPr>
        <w:spacing w:after="0" w:line="240" w:lineRule="auto"/>
        <w:ind w:firstLine="708"/>
        <w:jc w:val="both"/>
        <w:rPr>
          <w:rFonts w:ascii="Times New Roman" w:hAnsi="Times New Roman" w:cs="Times New Roman"/>
          <w:color w:val="000000"/>
          <w:sz w:val="24"/>
          <w:szCs w:val="24"/>
        </w:rPr>
      </w:pPr>
      <w:r w:rsidRPr="00244458">
        <w:rPr>
          <w:rFonts w:ascii="Times New Roman" w:hAnsi="Times New Roman" w:cs="Times New Roman"/>
          <w:color w:val="000000"/>
          <w:sz w:val="24"/>
          <w:szCs w:val="24"/>
        </w:rPr>
        <w:t>Данный показатель определяет срок, в течение которого инвестиции будут "заморожены", поскольку реальный доход от инвестиционного проекта начнет поступать только по истечении периода окупаемости.</w:t>
      </w:r>
    </w:p>
    <w:p w:rsidR="00114460" w:rsidRPr="00E15289" w:rsidRDefault="00114460" w:rsidP="00114460">
      <w:pPr>
        <w:spacing w:after="0" w:line="240" w:lineRule="auto"/>
        <w:ind w:firstLine="708"/>
        <w:jc w:val="both"/>
        <w:rPr>
          <w:rFonts w:ascii="Times New Roman" w:hAnsi="Times New Roman" w:cs="Times New Roman"/>
        </w:rPr>
      </w:pPr>
      <w:r w:rsidRPr="00E15289">
        <w:rPr>
          <w:rFonts w:ascii="Times New Roman" w:hAnsi="Times New Roman" w:cs="Times New Roman"/>
          <w:b/>
        </w:rPr>
        <w:t>Дисконтированный срок окупаемости проекта (</w:t>
      </w:r>
      <w:r w:rsidRPr="00E15289">
        <w:rPr>
          <w:rFonts w:ascii="Times New Roman" w:hAnsi="Times New Roman" w:cs="Times New Roman"/>
          <w:b/>
          <w:lang w:val="en-US"/>
        </w:rPr>
        <w:t>DPP</w:t>
      </w:r>
      <w:r w:rsidRPr="00E15289">
        <w:rPr>
          <w:rFonts w:ascii="Times New Roman" w:hAnsi="Times New Roman" w:cs="Times New Roman"/>
          <w:b/>
        </w:rPr>
        <w:t>)</w:t>
      </w:r>
      <w:r w:rsidRPr="00E15289">
        <w:rPr>
          <w:rFonts w:ascii="Times New Roman" w:hAnsi="Times New Roman" w:cs="Times New Roman"/>
        </w:rPr>
        <w:t xml:space="preserve"> – срок окупаемости, рассчитанный по дисконтированным денежным потокам.</w:t>
      </w:r>
    </w:p>
    <w:p w:rsidR="00DC5DAA" w:rsidRDefault="00DC5DAA" w:rsidP="00023188">
      <w:pPr>
        <w:spacing w:after="0" w:line="240" w:lineRule="auto"/>
        <w:jc w:val="both"/>
        <w:rPr>
          <w:rFonts w:ascii="Times New Roman" w:hAnsi="Times New Roman" w:cs="Times New Roman"/>
          <w:b/>
          <w:bCs/>
          <w:iCs/>
          <w:sz w:val="24"/>
          <w:szCs w:val="24"/>
        </w:rPr>
      </w:pPr>
    </w:p>
    <w:p w:rsidR="00114460" w:rsidRDefault="00114460" w:rsidP="00916D87">
      <w:pPr>
        <w:spacing w:after="0" w:line="240" w:lineRule="auto"/>
        <w:ind w:firstLine="708"/>
        <w:jc w:val="both"/>
        <w:rPr>
          <w:rFonts w:ascii="Times New Roman" w:hAnsi="Times New Roman" w:cs="Times New Roman"/>
          <w:b/>
          <w:bCs/>
          <w:iCs/>
          <w:sz w:val="24"/>
          <w:szCs w:val="24"/>
        </w:rPr>
      </w:pPr>
    </w:p>
    <w:p w:rsidR="00405BF7" w:rsidRPr="00114460" w:rsidRDefault="00405BF7" w:rsidP="00916D87">
      <w:pPr>
        <w:pStyle w:val="a3"/>
        <w:spacing w:after="0" w:line="240" w:lineRule="auto"/>
        <w:ind w:left="0" w:firstLine="720"/>
        <w:jc w:val="both"/>
        <w:rPr>
          <w:rFonts w:ascii="Times New Roman" w:hAnsi="Times New Roman" w:cs="Times New Roman"/>
          <w:b/>
          <w:bCs/>
          <w:iCs/>
          <w:sz w:val="24"/>
          <w:szCs w:val="24"/>
          <w:lang w:val="en-US"/>
        </w:rPr>
      </w:pPr>
    </w:p>
    <w:sectPr w:rsidR="00405BF7" w:rsidRPr="00114460" w:rsidSect="00B73C71">
      <w:headerReference w:type="default" r:id="rId17"/>
      <w:footerReference w:type="default" r:id="rId18"/>
      <w:pgSz w:w="11906" w:h="16838"/>
      <w:pgMar w:top="426" w:right="850" w:bottom="284" w:left="85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05" w:rsidRDefault="005F6405" w:rsidP="00B73C71">
      <w:pPr>
        <w:spacing w:after="0" w:line="240" w:lineRule="auto"/>
      </w:pPr>
      <w:r>
        <w:separator/>
      </w:r>
    </w:p>
  </w:endnote>
  <w:endnote w:type="continuationSeparator" w:id="0">
    <w:p w:rsidR="005F6405" w:rsidRDefault="005F6405" w:rsidP="00B7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297"/>
      <w:docPartObj>
        <w:docPartGallery w:val="Page Numbers (Bottom of Page)"/>
        <w:docPartUnique/>
      </w:docPartObj>
    </w:sdtPr>
    <w:sdtEndPr/>
    <w:sdtContent>
      <w:p w:rsidR="00B73C71" w:rsidRDefault="00866A7B">
        <w:pPr>
          <w:pStyle w:val="a8"/>
          <w:jc w:val="right"/>
        </w:pPr>
        <w:r>
          <w:rPr>
            <w:noProof/>
          </w:rPr>
          <w:fldChar w:fldCharType="begin"/>
        </w:r>
        <w:r>
          <w:rPr>
            <w:noProof/>
          </w:rPr>
          <w:instrText xml:space="preserve"> PAGE   \* MERGEFORMAT </w:instrText>
        </w:r>
        <w:r>
          <w:rPr>
            <w:noProof/>
          </w:rPr>
          <w:fldChar w:fldCharType="separate"/>
        </w:r>
        <w:r w:rsidR="00282B02">
          <w:rPr>
            <w:noProof/>
          </w:rPr>
          <w:t>1</w:t>
        </w:r>
        <w:r>
          <w:rPr>
            <w:noProof/>
          </w:rPr>
          <w:fldChar w:fldCharType="end"/>
        </w:r>
      </w:p>
    </w:sdtContent>
  </w:sdt>
  <w:p w:rsidR="00B73C71" w:rsidRDefault="00B73C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05" w:rsidRDefault="005F6405" w:rsidP="00B73C71">
      <w:pPr>
        <w:spacing w:after="0" w:line="240" w:lineRule="auto"/>
      </w:pPr>
      <w:r>
        <w:separator/>
      </w:r>
    </w:p>
  </w:footnote>
  <w:footnote w:type="continuationSeparator" w:id="0">
    <w:p w:rsidR="005F6405" w:rsidRDefault="005F6405" w:rsidP="00B7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alias w:val="Заголовок"/>
      <w:id w:val="77738743"/>
      <w:placeholder>
        <w:docPart w:val="2D82208A1F294200B4164623B674055A"/>
      </w:placeholder>
      <w:dataBinding w:prefixMappings="xmlns:ns0='http://schemas.openxmlformats.org/package/2006/metadata/core-properties' xmlns:ns1='http://purl.org/dc/elements/1.1/'" w:xpath="/ns0:coreProperties[1]/ns1:title[1]" w:storeItemID="{6C3C8BC8-F283-45AE-878A-BAB7291924A1}"/>
      <w:text/>
    </w:sdtPr>
    <w:sdtEndPr/>
    <w:sdtContent>
      <w:p w:rsidR="00B73C71" w:rsidRPr="00B73C71" w:rsidRDefault="00B73C71">
        <w:pPr>
          <w:pStyle w:val="a6"/>
          <w:pBdr>
            <w:bottom w:val="thickThinSmallGap" w:sz="24" w:space="1" w:color="622423" w:themeColor="accent2" w:themeShade="7F"/>
          </w:pBdr>
          <w:jc w:val="center"/>
          <w:rPr>
            <w:rFonts w:asciiTheme="majorHAnsi" w:eastAsiaTheme="majorEastAsia" w:hAnsiTheme="majorHAnsi" w:cstheme="majorBidi"/>
            <w:sz w:val="20"/>
            <w:szCs w:val="20"/>
          </w:rPr>
        </w:pPr>
        <w:r>
          <w:rPr>
            <w:rFonts w:ascii="Times New Roman" w:hAnsi="Times New Roman" w:cs="Times New Roman"/>
            <w:b/>
            <w:sz w:val="20"/>
            <w:szCs w:val="20"/>
          </w:rPr>
          <w:t>Курс «</w:t>
        </w:r>
        <w:r w:rsidR="00161EAE">
          <w:rPr>
            <w:rFonts w:ascii="Times New Roman" w:hAnsi="Times New Roman" w:cs="Times New Roman"/>
            <w:b/>
            <w:sz w:val="20"/>
            <w:szCs w:val="20"/>
          </w:rPr>
          <w:t>Управление инновационными проектами</w:t>
        </w:r>
        <w:r>
          <w:rPr>
            <w:rFonts w:ascii="Times New Roman" w:hAnsi="Times New Roman" w:cs="Times New Roman"/>
            <w:b/>
            <w:sz w:val="20"/>
            <w:szCs w:val="20"/>
          </w:rPr>
          <w:t>»</w:t>
        </w:r>
      </w:p>
    </w:sdtContent>
  </w:sdt>
  <w:p w:rsidR="00B73C71" w:rsidRDefault="00B73C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C2C"/>
    <w:multiLevelType w:val="multilevel"/>
    <w:tmpl w:val="33B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4499"/>
    <w:multiLevelType w:val="hybridMultilevel"/>
    <w:tmpl w:val="ED10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849DF"/>
    <w:multiLevelType w:val="hybridMultilevel"/>
    <w:tmpl w:val="899A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A385F"/>
    <w:multiLevelType w:val="hybridMultilevel"/>
    <w:tmpl w:val="7F94C94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1758A"/>
    <w:multiLevelType w:val="hybridMultilevel"/>
    <w:tmpl w:val="EE44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B6B93"/>
    <w:multiLevelType w:val="hybridMultilevel"/>
    <w:tmpl w:val="7548A56A"/>
    <w:lvl w:ilvl="0" w:tplc="2C4CC6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076E0"/>
    <w:multiLevelType w:val="hybridMultilevel"/>
    <w:tmpl w:val="05B2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848CC"/>
    <w:multiLevelType w:val="hybridMultilevel"/>
    <w:tmpl w:val="A0DE02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A950FF"/>
    <w:multiLevelType w:val="hybridMultilevel"/>
    <w:tmpl w:val="9F9EF294"/>
    <w:lvl w:ilvl="0" w:tplc="A1ACC42E">
      <w:start w:val="1"/>
      <w:numFmt w:val="decimal"/>
      <w:lvlText w:val="%1."/>
      <w:lvlJc w:val="left"/>
      <w:pPr>
        <w:tabs>
          <w:tab w:val="num" w:pos="1923"/>
        </w:tabs>
        <w:ind w:left="1923" w:hanging="12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49A1723D"/>
    <w:multiLevelType w:val="hybridMultilevel"/>
    <w:tmpl w:val="7438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502958"/>
    <w:multiLevelType w:val="hybridMultilevel"/>
    <w:tmpl w:val="749A916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B90E2D"/>
    <w:multiLevelType w:val="hybridMultilevel"/>
    <w:tmpl w:val="42287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377597"/>
    <w:multiLevelType w:val="hybridMultilevel"/>
    <w:tmpl w:val="0548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ED1F9B"/>
    <w:multiLevelType w:val="hybridMultilevel"/>
    <w:tmpl w:val="6C427DD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num>
  <w:num w:numId="5">
    <w:abstractNumId w:val="13"/>
  </w:num>
  <w:num w:numId="6">
    <w:abstractNumId w:val="10"/>
  </w:num>
  <w:num w:numId="7">
    <w:abstractNumId w:val="3"/>
  </w:num>
  <w:num w:numId="8">
    <w:abstractNumId w:val="6"/>
  </w:num>
  <w:num w:numId="9">
    <w:abstractNumId w:val="12"/>
  </w:num>
  <w:num w:numId="10">
    <w:abstractNumId w:val="5"/>
  </w:num>
  <w:num w:numId="11">
    <w:abstractNumId w:val="1"/>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0A16"/>
    <w:rsid w:val="00023188"/>
    <w:rsid w:val="000A6028"/>
    <w:rsid w:val="00114460"/>
    <w:rsid w:val="00161EAE"/>
    <w:rsid w:val="00282B02"/>
    <w:rsid w:val="00405BF7"/>
    <w:rsid w:val="00456D89"/>
    <w:rsid w:val="004B0165"/>
    <w:rsid w:val="00591CF0"/>
    <w:rsid w:val="00594403"/>
    <w:rsid w:val="005F6405"/>
    <w:rsid w:val="007C30F6"/>
    <w:rsid w:val="007F5B08"/>
    <w:rsid w:val="00866A7B"/>
    <w:rsid w:val="008E4245"/>
    <w:rsid w:val="00904B61"/>
    <w:rsid w:val="00916D87"/>
    <w:rsid w:val="009867EF"/>
    <w:rsid w:val="00990C29"/>
    <w:rsid w:val="00A860F8"/>
    <w:rsid w:val="00B73C71"/>
    <w:rsid w:val="00BE1906"/>
    <w:rsid w:val="00D03434"/>
    <w:rsid w:val="00D4334E"/>
    <w:rsid w:val="00D70AC5"/>
    <w:rsid w:val="00D8474E"/>
    <w:rsid w:val="00DC116A"/>
    <w:rsid w:val="00DC5DAA"/>
    <w:rsid w:val="00E31F24"/>
    <w:rsid w:val="00EF1251"/>
    <w:rsid w:val="00F9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04B6"/>
  <w15:docId w15:val="{3D9B0220-A127-4BFC-BFB8-591EAF15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0A16"/>
    <w:pPr>
      <w:ind w:left="720"/>
      <w:contextualSpacing/>
    </w:pPr>
  </w:style>
  <w:style w:type="table" w:styleId="a5">
    <w:name w:val="Table Grid"/>
    <w:basedOn w:val="a1"/>
    <w:uiPriority w:val="59"/>
    <w:rsid w:val="00F9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3C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C71"/>
  </w:style>
  <w:style w:type="paragraph" w:styleId="a8">
    <w:name w:val="footer"/>
    <w:basedOn w:val="a"/>
    <w:link w:val="a9"/>
    <w:unhideWhenUsed/>
    <w:rsid w:val="00B73C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3C71"/>
  </w:style>
  <w:style w:type="paragraph" w:styleId="aa">
    <w:name w:val="Balloon Text"/>
    <w:basedOn w:val="a"/>
    <w:link w:val="ab"/>
    <w:uiPriority w:val="99"/>
    <w:semiHidden/>
    <w:unhideWhenUsed/>
    <w:rsid w:val="00B73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3C71"/>
    <w:rPr>
      <w:rFonts w:ascii="Tahoma" w:hAnsi="Tahoma" w:cs="Tahoma"/>
      <w:sz w:val="16"/>
      <w:szCs w:val="16"/>
    </w:rPr>
  </w:style>
  <w:style w:type="character" w:customStyle="1" w:styleId="a4">
    <w:name w:val="Абзац списка Знак"/>
    <w:link w:val="a3"/>
    <w:uiPriority w:val="34"/>
    <w:rsid w:val="00DC5DAA"/>
  </w:style>
  <w:style w:type="paragraph" w:styleId="2">
    <w:name w:val="Body Text 2"/>
    <w:basedOn w:val="a"/>
    <w:link w:val="20"/>
    <w:rsid w:val="00405BF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05B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2208A1F294200B4164623B674055A"/>
        <w:category>
          <w:name w:val="Общие"/>
          <w:gallery w:val="placeholder"/>
        </w:category>
        <w:types>
          <w:type w:val="bbPlcHdr"/>
        </w:types>
        <w:behaviors>
          <w:behavior w:val="content"/>
        </w:behaviors>
        <w:guid w:val="{59F01797-7E90-4704-953D-30F8C0FD01FD}"/>
      </w:docPartPr>
      <w:docPartBody>
        <w:p w:rsidR="007F18D8" w:rsidRDefault="000F4CC4" w:rsidP="000F4CC4">
          <w:pPr>
            <w:pStyle w:val="2D82208A1F294200B4164623B674055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F4CC4"/>
    <w:rsid w:val="000F4CC4"/>
    <w:rsid w:val="007015ED"/>
    <w:rsid w:val="00726D73"/>
    <w:rsid w:val="007F18D8"/>
    <w:rsid w:val="009E1F26"/>
    <w:rsid w:val="00A9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82208A1F294200B4164623B674055A">
    <w:name w:val="2D82208A1F294200B4164623B674055A"/>
    <w:rsid w:val="000F4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3C9B-F899-44D8-8896-936D627A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Курс «Управление инновационными проектами»</vt:lpstr>
    </vt:vector>
  </TitlesOfParts>
  <Company>RePack by SPecialiST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«Управление инновационными проектами»</dc:title>
  <dc:subject/>
  <dc:creator>User</dc:creator>
  <cp:keywords/>
  <dc:description/>
  <cp:lastModifiedBy>Irina Osinovskaya</cp:lastModifiedBy>
  <cp:revision>13</cp:revision>
  <dcterms:created xsi:type="dcterms:W3CDTF">2016-09-01T08:21:00Z</dcterms:created>
  <dcterms:modified xsi:type="dcterms:W3CDTF">2018-09-07T04:38:00Z</dcterms:modified>
</cp:coreProperties>
</file>