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34" w:rsidRPr="00F22333" w:rsidRDefault="00F22333">
      <w:r>
        <w:t>Электрон с энергией</w:t>
      </w:r>
      <w:proofErr w:type="gramStart"/>
      <w:r>
        <w:t xml:space="preserve"> Е</w:t>
      </w:r>
      <w:proofErr w:type="gramEnd"/>
      <w:r>
        <w:t xml:space="preserve"> = 10 эВ падает на потенциальный барьер. Определить высоту U барьера, при которой показатель преломления </w:t>
      </w:r>
      <w:proofErr w:type="spellStart"/>
      <w:r>
        <w:t>n</w:t>
      </w:r>
      <w:proofErr w:type="spellEnd"/>
      <w:r>
        <w:t xml:space="preserve"> волн де Бройля и коэффициент отражения численно совпадают. Сделать рисунок.</w:t>
      </w:r>
    </w:p>
    <w:sectPr w:rsidR="00DA2F34" w:rsidRPr="00F22333" w:rsidSect="00DA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333"/>
    <w:rsid w:val="00DA2F34"/>
    <w:rsid w:val="00F2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2019-01-15T14:12:00Z</dcterms:created>
  <dcterms:modified xsi:type="dcterms:W3CDTF">2019-01-15T14:13:00Z</dcterms:modified>
</cp:coreProperties>
</file>